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B60F5" w14:textId="4D0DBC06" w:rsidR="008E79CC" w:rsidRDefault="008E79CC" w:rsidP="00EA50F8">
      <w:pPr>
        <w:jc w:val="center"/>
        <w:rPr>
          <w:b/>
          <w:bCs/>
          <w:color w:val="6199AD" w:themeColor="text1"/>
          <w:sz w:val="28"/>
          <w:szCs w:val="28"/>
          <w:lang w:val="en-US"/>
        </w:rPr>
      </w:pPr>
      <w:r w:rsidRPr="008427A5">
        <w:rPr>
          <w:noProof/>
        </w:rPr>
        <w:drawing>
          <wp:anchor distT="0" distB="0" distL="114300" distR="114300" simplePos="0" relativeHeight="251661312" behindDoc="0" locked="0" layoutInCell="1" allowOverlap="1" wp14:anchorId="336E61A6" wp14:editId="48D4F05F">
            <wp:simplePos x="0" y="0"/>
            <wp:positionH relativeFrom="page">
              <wp:posOffset>4671060</wp:posOffset>
            </wp:positionH>
            <wp:positionV relativeFrom="paragraph">
              <wp:posOffset>-814705</wp:posOffset>
            </wp:positionV>
            <wp:extent cx="2781300" cy="736600"/>
            <wp:effectExtent l="0" t="0" r="0" b="0"/>
            <wp:wrapNone/>
            <wp:docPr id="2" name="Picture 13">
              <a:extLst xmlns:a="http://schemas.openxmlformats.org/drawingml/2006/main">
                <a:ext uri="{FF2B5EF4-FFF2-40B4-BE49-F238E27FC236}">
                  <a16:creationId xmlns:a16="http://schemas.microsoft.com/office/drawing/2014/main" id="{CBD17BB9-DAD9-412A-8765-FAC22FFF31A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>
                      <a:extLst>
                        <a:ext uri="{FF2B5EF4-FFF2-40B4-BE49-F238E27FC236}">
                          <a16:creationId xmlns:a16="http://schemas.microsoft.com/office/drawing/2014/main" id="{CBD17BB9-DAD9-412A-8765-FAC22FFF31AB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8427A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94583" wp14:editId="1CF8D11A">
                <wp:simplePos x="0" y="0"/>
                <wp:positionH relativeFrom="page">
                  <wp:posOffset>0</wp:posOffset>
                </wp:positionH>
                <wp:positionV relativeFrom="paragraph">
                  <wp:posOffset>-913765</wp:posOffset>
                </wp:positionV>
                <wp:extent cx="7560000" cy="914400"/>
                <wp:effectExtent l="0" t="0" r="3175" b="0"/>
                <wp:wrapNone/>
                <wp:docPr id="13" name="Rectangle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5F6FE5A-AED0-487B-B352-3372AEB7011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914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05E6E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405E6E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405E6E">
                                <a:shade val="100000"/>
                                <a:satMod val="115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3D5D33" id="Rectangle 12" o:spid="_x0000_s1026" style="position:absolute;margin-left:0;margin-top:-71.95pt;width:595.3pt;height:1in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mxcTQIAAJwFAAAOAAAAZHJzL2Uyb0RvYy54bWysVE2P2yAQvVfqf0DcG9tpkt1GcfawH730&#10;Y7XbqmeCBxsJAwIaJ/++AzjOql1V21VzIHiYecO8N8zm6tArsgfnpdE1rWYlJaC5aaRua/r92927&#10;S0p8YLphymio6RE8vdq+fbMZ7BrmpjOqAUcQRPv1YGvahWDXReF5Bz3zM2NB46EwrmcBP11bNI4N&#10;iN6rYl6Wq2IwrrHOcPAerTf5kG4TvhDAw1chPASiaop3C2l1ad3Ftdhu2Lp1zHaSj9dgr7hFz6TG&#10;pBPUDQuM/HTyD6hecme8EWHGTV8YISSHVANWU5W/VfPYMQupFiTH24km//9g+Zf9o713SMNg/drj&#10;NlZxEK6P/3g/ckhkHSey4BAIR+PFclXijxKOZx+qxQL3CFOco63z4SOYnsRNTR2KkThi+08+ZNeT&#10;y0hdcyeVIkJJ7ASN/UKJM+GHDF1iAvsrc+wxPkV4Yg2SUSazd+3uWjmyZ6j1olzerm6zvWMNZOv7&#10;dOOkuWfhs2myuaqWsZJ8pREmVdL6p2mi04tTrS7QPbfXK1JVMdWLc43e/1YXCtWeiFRSExZfLMrp&#10;OVPQRK4TXpAKHlC5TA6+lKRRpEXpuGoTNcun0VKc+yjtwlFB9n4AQWSDnTPPssQnDpNgjHPQIQvs&#10;z4plzjN8GgoxImmjNAJGZIH5J+wR4HnsDDP6x1BIE2IKHgn/W/AUkTIbHabgXmrjnqtMYVVj5ux/&#10;IilTE1nameZ474gL6trkQcU07wzOKR5cCo5eOAJyV+ZxFWfM0+8Eex6q218AAAD//wMAUEsDBBQA&#10;BgAIAAAAIQBQ1N7o3QAAAAcBAAAPAAAAZHJzL2Rvd25yZXYueG1sTI9BT4NAFITvJv6HzTPx1i5o&#10;U1vK0mijxvQmNvG6ZV+BwL5F3ragv97lpMfJTGa+SbejbcUFe64dKYjnEQikwpmaSgWHj5fZCgR7&#10;TUa3jlDBNzJss+urVCfGDfSOl9yXIpQQJ1pB5X2XSMlFhVbz3HVIwTu53mofZF9K0+shlNtW3kXR&#10;UlpdU1iodIe7CosmP1sF+zf+WTw92OfXz/LrsBuaFecNK3V7Mz5uQHgc/V8YJvyADllgOrozGRat&#10;gnDEK5jFi/s1iMmP19ESxHFKyiyV//mzXwAAAP//AwBQSwECLQAUAAYACAAAACEAtoM4kv4AAADh&#10;AQAAEwAAAAAAAAAAAAAAAAAAAAAAW0NvbnRlbnRfVHlwZXNdLnhtbFBLAQItABQABgAIAAAAIQA4&#10;/SH/1gAAAJQBAAALAAAAAAAAAAAAAAAAAC8BAABfcmVscy8ucmVsc1BLAQItABQABgAIAAAAIQAz&#10;1mxcTQIAAJwFAAAOAAAAAAAAAAAAAAAAAC4CAABkcnMvZTJvRG9jLnhtbFBLAQItABQABgAIAAAA&#10;IQBQ1N7o3QAAAAcBAAAPAAAAAAAAAAAAAAAAAKcEAABkcnMvZG93bnJldi54bWxQSwUGAAAAAAQA&#10;BADzAAAAsQUAAAAA&#10;" fillcolor="#1f343f" stroked="f" strokeweight="1pt">
                <v:fill color2="#3d5f71" rotate="t" angle="90" colors="0 #1f343f;.5 #314f5e;1 #3d5f71" focus="100%" type="gradient"/>
                <w10:wrap anchorx="page"/>
              </v:rect>
            </w:pict>
          </mc:Fallback>
        </mc:AlternateContent>
      </w:r>
    </w:p>
    <w:p w14:paraId="6BB620B9" w14:textId="4E903335" w:rsidR="00EA3FFC" w:rsidRPr="008E79CC" w:rsidRDefault="00EA50F8" w:rsidP="008C3F02">
      <w:pPr>
        <w:jc w:val="center"/>
        <w:rPr>
          <w:b/>
          <w:bCs/>
          <w:color w:val="405E6E" w:themeColor="background1"/>
          <w:sz w:val="32"/>
          <w:szCs w:val="32"/>
          <w:lang w:val="en-US"/>
        </w:rPr>
      </w:pPr>
      <w:r w:rsidRPr="008E79CC">
        <w:rPr>
          <w:b/>
          <w:bCs/>
          <w:color w:val="405E6E" w:themeColor="background1"/>
          <w:sz w:val="32"/>
          <w:szCs w:val="32"/>
          <w:lang w:val="en-US"/>
        </w:rPr>
        <w:t xml:space="preserve">Tax Allowances and Thresholds for </w:t>
      </w:r>
      <w:r w:rsidR="008E79CC">
        <w:rPr>
          <w:b/>
          <w:bCs/>
          <w:color w:val="405E6E" w:themeColor="background1"/>
          <w:sz w:val="32"/>
          <w:szCs w:val="32"/>
          <w:lang w:val="en-US"/>
        </w:rPr>
        <w:t>20</w:t>
      </w:r>
      <w:r w:rsidR="00D1587B">
        <w:rPr>
          <w:b/>
          <w:bCs/>
          <w:color w:val="405E6E" w:themeColor="background1"/>
          <w:sz w:val="32"/>
          <w:szCs w:val="32"/>
          <w:lang w:val="en-US"/>
        </w:rPr>
        <w:t>24/25</w:t>
      </w:r>
      <w:r w:rsidRPr="008E79CC">
        <w:rPr>
          <w:b/>
          <w:bCs/>
          <w:color w:val="405E6E" w:themeColor="background1"/>
          <w:sz w:val="32"/>
          <w:szCs w:val="32"/>
          <w:lang w:val="en-US"/>
        </w:rPr>
        <w:t xml:space="preserve"> Tax Year</w:t>
      </w:r>
    </w:p>
    <w:p w14:paraId="634C1C9B" w14:textId="2EE084A6" w:rsidR="003F253B" w:rsidRDefault="00EA50F8" w:rsidP="00EA50F8">
      <w:pPr>
        <w:pStyle w:val="NoSpacing"/>
        <w:rPr>
          <w:lang w:val="en-US"/>
        </w:rPr>
      </w:pPr>
      <w:r w:rsidRPr="00EA50F8">
        <w:rPr>
          <w:lang w:val="en-US"/>
        </w:rPr>
        <w:t>There are a number of changes happening on 6</w:t>
      </w:r>
      <w:r w:rsidRPr="00EA50F8">
        <w:rPr>
          <w:vertAlign w:val="superscript"/>
          <w:lang w:val="en-US"/>
        </w:rPr>
        <w:t>th</w:t>
      </w:r>
      <w:r w:rsidRPr="00EA50F8">
        <w:rPr>
          <w:lang w:val="en-US"/>
        </w:rPr>
        <w:t xml:space="preserve"> April</w:t>
      </w:r>
      <w:r>
        <w:rPr>
          <w:lang w:val="en-US"/>
        </w:rPr>
        <w:t xml:space="preserve"> – here’s a quick summary of the ones most relevant to pensions and employment.</w:t>
      </w:r>
    </w:p>
    <w:p w14:paraId="764D99C3" w14:textId="1A10B64B" w:rsidR="00AE0D41" w:rsidRDefault="00AE0D41" w:rsidP="00EA50F8">
      <w:pPr>
        <w:pStyle w:val="NoSpacing"/>
        <w:rPr>
          <w:lang w:val="en-US"/>
        </w:rPr>
      </w:pPr>
    </w:p>
    <w:p w14:paraId="0E2E16D1" w14:textId="0C53DF47" w:rsidR="00AE0D41" w:rsidRPr="003F253B" w:rsidRDefault="00AE0D41" w:rsidP="00EA50F8">
      <w:pPr>
        <w:pStyle w:val="NoSpacing"/>
        <w:rPr>
          <w:lang w:val="en-US"/>
        </w:rPr>
      </w:pPr>
      <w:r>
        <w:rPr>
          <w:lang w:val="en-US"/>
        </w:rPr>
        <w:t>For a more comprehensive overview of the budget, please see the full PK Budget Bulleti</w:t>
      </w:r>
      <w:r w:rsidR="00D1587B">
        <w:rPr>
          <w:lang w:val="en-US"/>
        </w:rPr>
        <w:t xml:space="preserve">n </w:t>
      </w:r>
      <w:hyperlink r:id="rId5" w:history="1">
        <w:r w:rsidR="00D1587B" w:rsidRPr="00D1587B">
          <w:rPr>
            <w:rStyle w:val="Hyperlink"/>
            <w:color w:val="1B3644" w:themeColor="text2"/>
            <w:lang w:val="en-US"/>
          </w:rPr>
          <w:t>here.</w:t>
        </w:r>
      </w:hyperlink>
    </w:p>
    <w:p w14:paraId="645F997C" w14:textId="42900742" w:rsidR="003F253B" w:rsidRDefault="003F253B" w:rsidP="00EA50F8">
      <w:pPr>
        <w:pStyle w:val="NoSpacing"/>
        <w:rPr>
          <w:b/>
          <w:bCs/>
          <w:color w:val="405E6E" w:themeColor="background1"/>
          <w:lang w:val="en-US"/>
        </w:rPr>
      </w:pPr>
    </w:p>
    <w:p w14:paraId="2A734752" w14:textId="77529304" w:rsidR="003F253B" w:rsidRDefault="00F42D8F" w:rsidP="00EA50F8">
      <w:pPr>
        <w:pStyle w:val="NoSpacing"/>
        <w:rPr>
          <w:b/>
          <w:bCs/>
          <w:color w:val="405E6E" w:themeColor="background1"/>
          <w:sz w:val="28"/>
          <w:szCs w:val="28"/>
          <w:lang w:val="en-US"/>
        </w:rPr>
      </w:pPr>
      <w:r>
        <w:rPr>
          <w:b/>
          <w:bCs/>
          <w:color w:val="405E6E" w:themeColor="background1"/>
          <w:sz w:val="28"/>
          <w:szCs w:val="28"/>
          <w:lang w:val="en-US"/>
        </w:rPr>
        <w:t>Pensions</w:t>
      </w:r>
    </w:p>
    <w:p w14:paraId="35DF0767" w14:textId="77777777" w:rsidR="00F42D8F" w:rsidRPr="00F42D8F" w:rsidRDefault="00F42D8F" w:rsidP="00EA50F8">
      <w:pPr>
        <w:pStyle w:val="NoSpacing"/>
        <w:rPr>
          <w:color w:val="405E6E" w:themeColor="background1"/>
          <w:sz w:val="28"/>
          <w:szCs w:val="28"/>
          <w:lang w:val="en-US"/>
        </w:rPr>
      </w:pPr>
    </w:p>
    <w:p w14:paraId="38376632" w14:textId="7AD330DE" w:rsidR="00EA50F8" w:rsidRPr="00647D2F" w:rsidRDefault="00EC6CE4" w:rsidP="00EA50F8">
      <w:pPr>
        <w:pStyle w:val="NoSpacing"/>
        <w:rPr>
          <w:b/>
          <w:bCs/>
          <w:color w:val="405E6E" w:themeColor="background1"/>
          <w:sz w:val="24"/>
          <w:szCs w:val="24"/>
          <w:lang w:val="en-US"/>
        </w:rPr>
      </w:pPr>
      <w:r w:rsidRPr="00647D2F">
        <w:rPr>
          <w:b/>
          <w:bCs/>
          <w:color w:val="405E6E" w:themeColor="background1"/>
          <w:sz w:val="24"/>
          <w:szCs w:val="24"/>
          <w:lang w:val="en-US"/>
        </w:rPr>
        <w:t xml:space="preserve">Lifetime Allowance (LTA) –  </w:t>
      </w:r>
      <w:r w:rsidR="0019314B" w:rsidRPr="00647D2F">
        <w:rPr>
          <w:b/>
          <w:bCs/>
          <w:color w:val="405E6E" w:themeColor="background1"/>
          <w:sz w:val="24"/>
          <w:szCs w:val="24"/>
          <w:lang w:val="en-US"/>
        </w:rPr>
        <w:t xml:space="preserve"> </w:t>
      </w:r>
      <w:r w:rsidR="00B91BE4" w:rsidRPr="00647D2F">
        <w:rPr>
          <w:b/>
          <w:bCs/>
          <w:color w:val="405E6E" w:themeColor="background1"/>
          <w:sz w:val="24"/>
          <w:szCs w:val="24"/>
          <w:lang w:val="en-US"/>
        </w:rPr>
        <w:t xml:space="preserve">ABOLISHED </w:t>
      </w:r>
      <w:r w:rsidRPr="00647D2F">
        <w:rPr>
          <w:b/>
          <w:bCs/>
          <w:color w:val="405E6E" w:themeColor="background1"/>
          <w:sz w:val="24"/>
          <w:szCs w:val="24"/>
          <w:lang w:val="en-US"/>
        </w:rPr>
        <w:t>from 2</w:t>
      </w:r>
      <w:r w:rsidR="00D1587B">
        <w:rPr>
          <w:b/>
          <w:bCs/>
          <w:color w:val="405E6E" w:themeColor="background1"/>
          <w:sz w:val="24"/>
          <w:szCs w:val="24"/>
          <w:lang w:val="en-US"/>
        </w:rPr>
        <w:t>4/25</w:t>
      </w:r>
      <w:r w:rsidR="00B91BE4" w:rsidRPr="00647D2F">
        <w:rPr>
          <w:b/>
          <w:bCs/>
          <w:color w:val="405E6E" w:themeColor="background1"/>
          <w:sz w:val="24"/>
          <w:szCs w:val="24"/>
          <w:lang w:val="en-US"/>
        </w:rPr>
        <w:t xml:space="preserve"> onwards.</w:t>
      </w:r>
    </w:p>
    <w:p w14:paraId="3FFAE715" w14:textId="77777777" w:rsidR="008E79CC" w:rsidRDefault="008E79CC" w:rsidP="00EA50F8">
      <w:pPr>
        <w:pStyle w:val="NoSpacing"/>
        <w:rPr>
          <w:b/>
          <w:bCs/>
          <w:color w:val="405E6E" w:themeColor="background1"/>
          <w:lang w:val="en-US"/>
        </w:rPr>
      </w:pPr>
    </w:p>
    <w:p w14:paraId="434DF33D" w14:textId="39FBC92A" w:rsidR="006F1B73" w:rsidRDefault="00EC6CE4" w:rsidP="00EA50F8">
      <w:pPr>
        <w:pStyle w:val="NoSpacing"/>
        <w:rPr>
          <w:lang w:val="en-US"/>
        </w:rPr>
      </w:pPr>
      <w:r w:rsidRPr="00EC6CE4">
        <w:rPr>
          <w:lang w:val="en-US"/>
        </w:rPr>
        <w:t xml:space="preserve">This is the maximum amount of </w:t>
      </w:r>
      <w:r>
        <w:rPr>
          <w:lang w:val="en-US"/>
        </w:rPr>
        <w:t xml:space="preserve">pension savings that may be accrued without being subject to an extra tax charge. </w:t>
      </w:r>
      <w:r w:rsidR="00B91BE4">
        <w:rPr>
          <w:lang w:val="en-US"/>
        </w:rPr>
        <w:t xml:space="preserve">So, from now on, the only </w:t>
      </w:r>
      <w:r w:rsidR="009B0A6B">
        <w:rPr>
          <w:lang w:val="en-US"/>
        </w:rPr>
        <w:t xml:space="preserve">tax </w:t>
      </w:r>
      <w:r w:rsidR="00B91BE4">
        <w:rPr>
          <w:lang w:val="en-US"/>
        </w:rPr>
        <w:t>restriction to how much you can accumulate in a pension is the Annual Allowance</w:t>
      </w:r>
      <w:r w:rsidR="006F1B73">
        <w:rPr>
          <w:lang w:val="en-US"/>
        </w:rPr>
        <w:t>.</w:t>
      </w:r>
    </w:p>
    <w:p w14:paraId="6BFD23EE" w14:textId="6D93BFCE" w:rsidR="00EC6CE4" w:rsidRPr="00EC6CE4" w:rsidRDefault="00EC6CE4" w:rsidP="00EA50F8">
      <w:pPr>
        <w:pStyle w:val="NoSpacing"/>
        <w:rPr>
          <w:color w:val="FF0000"/>
          <w:lang w:val="en-US"/>
        </w:rPr>
      </w:pPr>
    </w:p>
    <w:p w14:paraId="20EE7E5E" w14:textId="3A925341" w:rsidR="00EC6CE4" w:rsidRDefault="00242BA2" w:rsidP="00EA50F8">
      <w:pPr>
        <w:pStyle w:val="NoSpacing"/>
        <w:rPr>
          <w:b/>
          <w:bCs/>
          <w:lang w:val="en-US"/>
        </w:rPr>
      </w:pPr>
      <w:r>
        <w:rPr>
          <w:b/>
          <w:bCs/>
          <w:color w:val="405E6E" w:themeColor="background1"/>
          <w:lang w:val="en-US"/>
        </w:rPr>
        <w:t xml:space="preserve">PLEASE NOTE: </w:t>
      </w:r>
      <w:r>
        <w:rPr>
          <w:lang w:val="en-US"/>
        </w:rPr>
        <w:t xml:space="preserve">the maximum Pension Commencement Lump Sum </w:t>
      </w:r>
      <w:r w:rsidR="00B92991">
        <w:rPr>
          <w:lang w:val="en-US"/>
        </w:rPr>
        <w:t>(Tax-Free Cash)</w:t>
      </w:r>
      <w:r w:rsidR="00647D2F">
        <w:rPr>
          <w:lang w:val="en-US"/>
        </w:rPr>
        <w:t xml:space="preserve"> </w:t>
      </w:r>
      <w:r>
        <w:rPr>
          <w:lang w:val="en-US"/>
        </w:rPr>
        <w:t>will be kept at the current level of £268,275</w:t>
      </w:r>
      <w:r w:rsidR="006F1B73">
        <w:rPr>
          <w:lang w:val="en-US"/>
        </w:rPr>
        <w:t xml:space="preserve">. </w:t>
      </w:r>
      <w:r w:rsidR="006F1B73" w:rsidRPr="00777F70">
        <w:rPr>
          <w:b/>
          <w:bCs/>
          <w:lang w:val="en-US"/>
        </w:rPr>
        <w:t>Please also bear in mind that taxation rules are always subject to change</w:t>
      </w:r>
      <w:r w:rsidR="00777F70" w:rsidRPr="00777F70">
        <w:rPr>
          <w:b/>
          <w:bCs/>
          <w:lang w:val="en-US"/>
        </w:rPr>
        <w:t>.</w:t>
      </w:r>
    </w:p>
    <w:p w14:paraId="1A90A92D" w14:textId="77777777" w:rsidR="00777F70" w:rsidRPr="00777F70" w:rsidRDefault="00777F70" w:rsidP="00EA50F8">
      <w:pPr>
        <w:pStyle w:val="NoSpacing"/>
        <w:rPr>
          <w:b/>
          <w:bCs/>
          <w:lang w:val="en-US"/>
        </w:rPr>
      </w:pPr>
    </w:p>
    <w:p w14:paraId="44725891" w14:textId="77777777" w:rsidR="00242BA2" w:rsidRPr="00242BA2" w:rsidRDefault="00242BA2" w:rsidP="00EA50F8">
      <w:pPr>
        <w:pStyle w:val="NoSpacing"/>
        <w:rPr>
          <w:lang w:val="en-US"/>
        </w:rPr>
      </w:pPr>
    </w:p>
    <w:p w14:paraId="2B8FA019" w14:textId="32768EB6" w:rsidR="00EC6CE4" w:rsidRPr="00647D2F" w:rsidRDefault="00EC6CE4" w:rsidP="00EA50F8">
      <w:pPr>
        <w:pStyle w:val="NoSpacing"/>
        <w:rPr>
          <w:b/>
          <w:bCs/>
          <w:color w:val="405E6E" w:themeColor="background1"/>
          <w:sz w:val="24"/>
          <w:szCs w:val="24"/>
          <w:lang w:val="en-US"/>
        </w:rPr>
      </w:pPr>
      <w:r w:rsidRPr="00647D2F">
        <w:rPr>
          <w:b/>
          <w:bCs/>
          <w:color w:val="405E6E" w:themeColor="background1"/>
          <w:sz w:val="24"/>
          <w:szCs w:val="24"/>
          <w:lang w:val="en-US"/>
        </w:rPr>
        <w:t>Annual Allowance</w:t>
      </w:r>
      <w:r w:rsidR="007817DF">
        <w:rPr>
          <w:b/>
          <w:bCs/>
          <w:color w:val="405E6E" w:themeColor="background1"/>
          <w:sz w:val="24"/>
          <w:szCs w:val="24"/>
          <w:lang w:val="en-US"/>
        </w:rPr>
        <w:t xml:space="preserve"> (AA)</w:t>
      </w:r>
      <w:r w:rsidRPr="00647D2F">
        <w:rPr>
          <w:b/>
          <w:bCs/>
          <w:color w:val="405E6E" w:themeColor="background1"/>
          <w:sz w:val="24"/>
          <w:szCs w:val="24"/>
          <w:lang w:val="en-US"/>
        </w:rPr>
        <w:t xml:space="preserve"> </w:t>
      </w:r>
      <w:r w:rsidR="0019314B" w:rsidRPr="00647D2F">
        <w:rPr>
          <w:b/>
          <w:bCs/>
          <w:color w:val="405E6E" w:themeColor="background1"/>
          <w:sz w:val="24"/>
          <w:szCs w:val="24"/>
          <w:lang w:val="en-US"/>
        </w:rPr>
        <w:t>–</w:t>
      </w:r>
      <w:r w:rsidRPr="00647D2F">
        <w:rPr>
          <w:b/>
          <w:bCs/>
          <w:color w:val="405E6E" w:themeColor="background1"/>
          <w:sz w:val="24"/>
          <w:szCs w:val="24"/>
          <w:lang w:val="en-US"/>
        </w:rPr>
        <w:t xml:space="preserve"> </w:t>
      </w:r>
      <w:r w:rsidR="00D1587B">
        <w:rPr>
          <w:b/>
          <w:bCs/>
          <w:color w:val="405E6E" w:themeColor="background1"/>
          <w:sz w:val="24"/>
          <w:szCs w:val="24"/>
          <w:lang w:val="en-US"/>
        </w:rPr>
        <w:t>remaining at</w:t>
      </w:r>
      <w:r w:rsidR="0019314B" w:rsidRPr="00647D2F">
        <w:rPr>
          <w:b/>
          <w:bCs/>
          <w:color w:val="405E6E" w:themeColor="background1"/>
          <w:sz w:val="24"/>
          <w:szCs w:val="24"/>
          <w:lang w:val="en-US"/>
        </w:rPr>
        <w:t xml:space="preserve"> </w:t>
      </w:r>
      <w:r w:rsidR="00B66A55" w:rsidRPr="00647D2F">
        <w:rPr>
          <w:b/>
          <w:bCs/>
          <w:color w:val="405E6E" w:themeColor="background1"/>
          <w:sz w:val="24"/>
          <w:szCs w:val="24"/>
          <w:lang w:val="en-US"/>
        </w:rPr>
        <w:t>£60,000 p.a. f</w:t>
      </w:r>
      <w:r w:rsidR="00D1587B">
        <w:rPr>
          <w:b/>
          <w:bCs/>
          <w:color w:val="405E6E" w:themeColor="background1"/>
          <w:sz w:val="24"/>
          <w:szCs w:val="24"/>
          <w:lang w:val="en-US"/>
        </w:rPr>
        <w:t>or 24/25</w:t>
      </w:r>
      <w:r w:rsidR="007817DF">
        <w:rPr>
          <w:b/>
          <w:bCs/>
          <w:color w:val="405E6E" w:themeColor="background1"/>
          <w:sz w:val="24"/>
          <w:szCs w:val="24"/>
          <w:lang w:val="en-US"/>
        </w:rPr>
        <w:t>.</w:t>
      </w:r>
    </w:p>
    <w:p w14:paraId="2233052E" w14:textId="77777777" w:rsidR="008E79CC" w:rsidRDefault="008E79CC" w:rsidP="00EA50F8">
      <w:pPr>
        <w:pStyle w:val="NoSpacing"/>
        <w:rPr>
          <w:b/>
          <w:bCs/>
          <w:color w:val="405E6E" w:themeColor="background1"/>
          <w:lang w:val="en-US"/>
        </w:rPr>
      </w:pPr>
    </w:p>
    <w:p w14:paraId="36B25935" w14:textId="77777777" w:rsidR="00B66A55" w:rsidRPr="008E79CC" w:rsidRDefault="00B66A55" w:rsidP="00EA50F8">
      <w:pPr>
        <w:pStyle w:val="NoSpacing"/>
        <w:rPr>
          <w:lang w:val="en-US"/>
        </w:rPr>
      </w:pPr>
      <w:r w:rsidRPr="008E79CC">
        <w:rPr>
          <w:lang w:val="en-US"/>
        </w:rPr>
        <w:t>This is the maximum amount of pension savings in any one Tax Year that may qualify for Income Tax relief.</w:t>
      </w:r>
    </w:p>
    <w:p w14:paraId="0AB11F16" w14:textId="70D137C7" w:rsidR="00B66A55" w:rsidRPr="008E79CC" w:rsidRDefault="00B66A55" w:rsidP="00EA50F8">
      <w:pPr>
        <w:pStyle w:val="NoSpacing"/>
        <w:rPr>
          <w:lang w:val="en-US"/>
        </w:rPr>
      </w:pPr>
      <w:r w:rsidRPr="008E79CC">
        <w:rPr>
          <w:lang w:val="en-US"/>
        </w:rPr>
        <w:t>This is subject to not exceeding 100% of relevant taxable income.</w:t>
      </w:r>
    </w:p>
    <w:p w14:paraId="3CE458D6" w14:textId="4FF3C6FC" w:rsidR="006F1B73" w:rsidRPr="009D2775" w:rsidRDefault="00B66A55" w:rsidP="00EA50F8">
      <w:pPr>
        <w:pStyle w:val="NoSpacing"/>
        <w:rPr>
          <w:color w:val="405E6E" w:themeColor="background1"/>
          <w:lang w:val="en-US"/>
        </w:rPr>
      </w:pPr>
      <w:r w:rsidRPr="008E79CC">
        <w:rPr>
          <w:lang w:val="en-US"/>
        </w:rPr>
        <w:t xml:space="preserve">Restrictions apply for higher earners – see our </w:t>
      </w:r>
      <w:hyperlink r:id="rId6" w:history="1">
        <w:r w:rsidR="00D1587B" w:rsidRPr="00D1587B">
          <w:rPr>
            <w:rStyle w:val="Hyperlink"/>
            <w:color w:val="1B3644" w:themeColor="text2"/>
            <w:lang w:val="en-US"/>
          </w:rPr>
          <w:t>Annual Allowance factsheet 24-25</w:t>
        </w:r>
      </w:hyperlink>
    </w:p>
    <w:p w14:paraId="5183CB53" w14:textId="1A238DB6" w:rsidR="006F1B73" w:rsidRDefault="006F1B73" w:rsidP="00EA50F8">
      <w:pPr>
        <w:pStyle w:val="NoSpacing"/>
        <w:rPr>
          <w:color w:val="405E6E" w:themeColor="background1"/>
          <w:lang w:val="en-US"/>
        </w:rPr>
      </w:pPr>
    </w:p>
    <w:p w14:paraId="7A9F54EA" w14:textId="77777777" w:rsidR="006F1B73" w:rsidRPr="008E79CC" w:rsidRDefault="006F1B73" w:rsidP="006F1B73">
      <w:pPr>
        <w:pStyle w:val="NoSpacing"/>
        <w:rPr>
          <w:b/>
          <w:bCs/>
          <w:color w:val="405E6E" w:themeColor="background1"/>
          <w:sz w:val="24"/>
          <w:szCs w:val="24"/>
          <w:lang w:val="en-US"/>
        </w:rPr>
      </w:pPr>
      <w:r w:rsidRPr="008E79CC">
        <w:rPr>
          <w:b/>
          <w:bCs/>
          <w:color w:val="405E6E" w:themeColor="background1"/>
          <w:sz w:val="24"/>
          <w:szCs w:val="24"/>
          <w:lang w:val="en-US"/>
        </w:rPr>
        <w:t>Income Tax and National Insurance (NI) Thresholds (England, Wales and N Ireland)</w:t>
      </w:r>
    </w:p>
    <w:p w14:paraId="4D89A026" w14:textId="77777777" w:rsidR="006F1B73" w:rsidRDefault="006F1B73" w:rsidP="006F1B73">
      <w:pPr>
        <w:pStyle w:val="NoSpacing"/>
        <w:rPr>
          <w:b/>
          <w:bCs/>
          <w:color w:val="6199AD" w:themeColor="text1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386"/>
        <w:gridCol w:w="2254"/>
      </w:tblGrid>
      <w:tr w:rsidR="006F1B73" w:rsidRPr="009D7389" w14:paraId="6576FDDC" w14:textId="77777777" w:rsidTr="00701207">
        <w:tc>
          <w:tcPr>
            <w:tcW w:w="2122" w:type="dxa"/>
          </w:tcPr>
          <w:p w14:paraId="33D1B77C" w14:textId="77777777" w:rsidR="006F1B73" w:rsidRPr="009D7389" w:rsidRDefault="006F1B73" w:rsidP="00701207">
            <w:pPr>
              <w:pStyle w:val="NoSpacing"/>
              <w:jc w:val="center"/>
              <w:rPr>
                <w:b/>
                <w:bCs/>
                <w:color w:val="405E6E" w:themeColor="background1"/>
                <w:lang w:val="en-US"/>
              </w:rPr>
            </w:pPr>
            <w:r w:rsidRPr="009D7389">
              <w:rPr>
                <w:b/>
                <w:bCs/>
                <w:color w:val="405E6E" w:themeColor="background1"/>
                <w:lang w:val="en-US"/>
              </w:rPr>
              <w:t>Income</w:t>
            </w:r>
          </w:p>
        </w:tc>
        <w:tc>
          <w:tcPr>
            <w:tcW w:w="2386" w:type="dxa"/>
          </w:tcPr>
          <w:p w14:paraId="0F78D62F" w14:textId="77777777" w:rsidR="006F1B73" w:rsidRPr="009D7389" w:rsidRDefault="006F1B73" w:rsidP="00701207">
            <w:pPr>
              <w:pStyle w:val="NoSpacing"/>
              <w:jc w:val="center"/>
              <w:rPr>
                <w:b/>
                <w:bCs/>
                <w:color w:val="405E6E" w:themeColor="background1"/>
                <w:lang w:val="en-US"/>
              </w:rPr>
            </w:pPr>
            <w:r w:rsidRPr="009D7389">
              <w:rPr>
                <w:b/>
                <w:bCs/>
                <w:color w:val="405E6E" w:themeColor="background1"/>
                <w:lang w:val="en-US"/>
              </w:rPr>
              <w:t>Tax Rate</w:t>
            </w:r>
          </w:p>
        </w:tc>
        <w:tc>
          <w:tcPr>
            <w:tcW w:w="2254" w:type="dxa"/>
          </w:tcPr>
          <w:p w14:paraId="29BD7D27" w14:textId="77777777" w:rsidR="006F1B73" w:rsidRPr="009D7389" w:rsidRDefault="006F1B73" w:rsidP="00701207">
            <w:pPr>
              <w:pStyle w:val="NoSpacing"/>
              <w:jc w:val="center"/>
              <w:rPr>
                <w:b/>
                <w:bCs/>
                <w:color w:val="405E6E" w:themeColor="background1"/>
                <w:lang w:val="en-US"/>
              </w:rPr>
            </w:pPr>
            <w:r w:rsidRPr="009D7389">
              <w:rPr>
                <w:b/>
                <w:bCs/>
                <w:color w:val="405E6E" w:themeColor="background1"/>
                <w:lang w:val="en-US"/>
              </w:rPr>
              <w:t>Employee NI rate</w:t>
            </w:r>
          </w:p>
        </w:tc>
      </w:tr>
      <w:tr w:rsidR="006F1B73" w14:paraId="6147E6CA" w14:textId="77777777" w:rsidTr="00701207">
        <w:tc>
          <w:tcPr>
            <w:tcW w:w="2122" w:type="dxa"/>
          </w:tcPr>
          <w:p w14:paraId="20F5BFB5" w14:textId="77777777" w:rsidR="006F1B73" w:rsidRDefault="006F1B73" w:rsidP="00701207">
            <w:pPr>
              <w:pStyle w:val="NoSpacing"/>
              <w:jc w:val="right"/>
              <w:rPr>
                <w:lang w:val="en-US"/>
              </w:rPr>
            </w:pPr>
            <w:r>
              <w:rPr>
                <w:lang w:val="en-US"/>
              </w:rPr>
              <w:t>Up to £12,570</w:t>
            </w:r>
          </w:p>
        </w:tc>
        <w:tc>
          <w:tcPr>
            <w:tcW w:w="2386" w:type="dxa"/>
          </w:tcPr>
          <w:p w14:paraId="0EC853FB" w14:textId="77777777" w:rsidR="006F1B73" w:rsidRDefault="006F1B73" w:rsidP="00701207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NIL</w:t>
            </w:r>
          </w:p>
        </w:tc>
        <w:tc>
          <w:tcPr>
            <w:tcW w:w="2254" w:type="dxa"/>
          </w:tcPr>
          <w:p w14:paraId="364A73C4" w14:textId="77777777" w:rsidR="006F1B73" w:rsidRDefault="006F1B73" w:rsidP="00701207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NIL</w:t>
            </w:r>
          </w:p>
        </w:tc>
      </w:tr>
      <w:tr w:rsidR="006F1B73" w14:paraId="59454167" w14:textId="77777777" w:rsidTr="00701207">
        <w:tc>
          <w:tcPr>
            <w:tcW w:w="2122" w:type="dxa"/>
          </w:tcPr>
          <w:p w14:paraId="1E6DC341" w14:textId="77777777" w:rsidR="006F1B73" w:rsidRDefault="006F1B73" w:rsidP="00701207">
            <w:pPr>
              <w:pStyle w:val="NoSpacing"/>
              <w:jc w:val="right"/>
              <w:rPr>
                <w:lang w:val="en-US"/>
              </w:rPr>
            </w:pPr>
            <w:r>
              <w:rPr>
                <w:lang w:val="en-US"/>
              </w:rPr>
              <w:t>£12,570 - £50,270</w:t>
            </w:r>
          </w:p>
        </w:tc>
        <w:tc>
          <w:tcPr>
            <w:tcW w:w="2386" w:type="dxa"/>
          </w:tcPr>
          <w:p w14:paraId="73E84F5B" w14:textId="77777777" w:rsidR="006F1B73" w:rsidRDefault="006F1B73" w:rsidP="00701207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20%</w:t>
            </w:r>
          </w:p>
        </w:tc>
        <w:tc>
          <w:tcPr>
            <w:tcW w:w="2254" w:type="dxa"/>
          </w:tcPr>
          <w:p w14:paraId="32393F7C" w14:textId="19021118" w:rsidR="006F1B73" w:rsidRDefault="00D1587B" w:rsidP="00701207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6F1B73">
              <w:rPr>
                <w:lang w:val="en-US"/>
              </w:rPr>
              <w:t>%</w:t>
            </w:r>
          </w:p>
        </w:tc>
      </w:tr>
      <w:tr w:rsidR="006F1B73" w14:paraId="298568D8" w14:textId="77777777" w:rsidTr="00701207">
        <w:tc>
          <w:tcPr>
            <w:tcW w:w="2122" w:type="dxa"/>
          </w:tcPr>
          <w:p w14:paraId="50EADF96" w14:textId="77777777" w:rsidR="006F1B73" w:rsidRDefault="006F1B73" w:rsidP="00701207">
            <w:pPr>
              <w:pStyle w:val="NoSpacing"/>
              <w:jc w:val="right"/>
              <w:rPr>
                <w:lang w:val="en-US"/>
              </w:rPr>
            </w:pPr>
            <w:r>
              <w:rPr>
                <w:lang w:val="en-US"/>
              </w:rPr>
              <w:t>£50,270 - £125,140</w:t>
            </w:r>
          </w:p>
        </w:tc>
        <w:tc>
          <w:tcPr>
            <w:tcW w:w="2386" w:type="dxa"/>
          </w:tcPr>
          <w:p w14:paraId="5D906F28" w14:textId="77777777" w:rsidR="006F1B73" w:rsidRDefault="006F1B73" w:rsidP="00701207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40%</w:t>
            </w:r>
          </w:p>
        </w:tc>
        <w:tc>
          <w:tcPr>
            <w:tcW w:w="2254" w:type="dxa"/>
          </w:tcPr>
          <w:p w14:paraId="0905406E" w14:textId="77777777" w:rsidR="006F1B73" w:rsidRDefault="006F1B73" w:rsidP="00701207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2%</w:t>
            </w:r>
          </w:p>
        </w:tc>
      </w:tr>
      <w:tr w:rsidR="006F1B73" w14:paraId="14D3308A" w14:textId="77777777" w:rsidTr="00701207">
        <w:tc>
          <w:tcPr>
            <w:tcW w:w="2122" w:type="dxa"/>
          </w:tcPr>
          <w:p w14:paraId="7E13F8BD" w14:textId="77777777" w:rsidR="006F1B73" w:rsidRDefault="006F1B73" w:rsidP="00701207">
            <w:pPr>
              <w:pStyle w:val="NoSpacing"/>
              <w:jc w:val="right"/>
              <w:rPr>
                <w:lang w:val="en-US"/>
              </w:rPr>
            </w:pPr>
            <w:r>
              <w:rPr>
                <w:lang w:val="en-US"/>
              </w:rPr>
              <w:t>£125,140 and above</w:t>
            </w:r>
          </w:p>
        </w:tc>
        <w:tc>
          <w:tcPr>
            <w:tcW w:w="2386" w:type="dxa"/>
          </w:tcPr>
          <w:p w14:paraId="5F3A556E" w14:textId="77777777" w:rsidR="006F1B73" w:rsidRDefault="006F1B73" w:rsidP="00701207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45%</w:t>
            </w:r>
          </w:p>
        </w:tc>
        <w:tc>
          <w:tcPr>
            <w:tcW w:w="2254" w:type="dxa"/>
          </w:tcPr>
          <w:p w14:paraId="5BEC5705" w14:textId="77777777" w:rsidR="006F1B73" w:rsidRDefault="006F1B73" w:rsidP="00701207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2%</w:t>
            </w:r>
          </w:p>
        </w:tc>
      </w:tr>
    </w:tbl>
    <w:p w14:paraId="04F9C9D2" w14:textId="77777777" w:rsidR="006F1B73" w:rsidRDefault="006F1B73" w:rsidP="006F1B73">
      <w:pPr>
        <w:pStyle w:val="NoSpacing"/>
        <w:rPr>
          <w:b/>
          <w:bCs/>
          <w:color w:val="6199AD" w:themeColor="text1"/>
          <w:lang w:val="en-US"/>
        </w:rPr>
      </w:pPr>
    </w:p>
    <w:p w14:paraId="7DC02CCA" w14:textId="77777777" w:rsidR="006F1B73" w:rsidRDefault="006F1B73" w:rsidP="006F1B73">
      <w:pPr>
        <w:pStyle w:val="NoSpacing"/>
        <w:rPr>
          <w:b/>
          <w:bCs/>
          <w:color w:val="6199AD" w:themeColor="text1"/>
          <w:lang w:val="en-US"/>
        </w:rPr>
      </w:pPr>
    </w:p>
    <w:p w14:paraId="508347BB" w14:textId="77777777" w:rsidR="006F1B73" w:rsidRDefault="006F1B73" w:rsidP="006F1B73">
      <w:pPr>
        <w:pStyle w:val="NoSpacing"/>
        <w:rPr>
          <w:b/>
          <w:bCs/>
          <w:color w:val="405E6E" w:themeColor="background1"/>
          <w:sz w:val="24"/>
          <w:szCs w:val="24"/>
          <w:lang w:val="en-US"/>
        </w:rPr>
      </w:pPr>
      <w:r w:rsidRPr="008E79CC">
        <w:rPr>
          <w:b/>
          <w:bCs/>
          <w:color w:val="405E6E" w:themeColor="background1"/>
          <w:sz w:val="24"/>
          <w:szCs w:val="24"/>
          <w:lang w:val="en-US"/>
        </w:rPr>
        <w:t>Income Tax Thresholds (Scotland) – NI rates are as per rest of UK</w:t>
      </w:r>
    </w:p>
    <w:p w14:paraId="57639EA2" w14:textId="77777777" w:rsidR="006F1B73" w:rsidRPr="008E79CC" w:rsidRDefault="006F1B73" w:rsidP="006F1B73">
      <w:pPr>
        <w:pStyle w:val="NoSpacing"/>
        <w:rPr>
          <w:b/>
          <w:bCs/>
          <w:color w:val="405E6E" w:themeColor="background1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402"/>
      </w:tblGrid>
      <w:tr w:rsidR="006F1B73" w14:paraId="5B71809E" w14:textId="77777777" w:rsidTr="006F1B73">
        <w:tc>
          <w:tcPr>
            <w:tcW w:w="3397" w:type="dxa"/>
          </w:tcPr>
          <w:p w14:paraId="23C9948E" w14:textId="77777777" w:rsidR="006F1B73" w:rsidRPr="00C21380" w:rsidRDefault="006F1B73" w:rsidP="00701207">
            <w:pPr>
              <w:pStyle w:val="NoSpacing"/>
              <w:jc w:val="center"/>
              <w:rPr>
                <w:b/>
                <w:bCs/>
                <w:color w:val="405E6E" w:themeColor="background1"/>
                <w:lang w:val="en-US"/>
              </w:rPr>
            </w:pPr>
            <w:r w:rsidRPr="00C21380">
              <w:rPr>
                <w:b/>
                <w:bCs/>
                <w:color w:val="405E6E" w:themeColor="background1"/>
                <w:lang w:val="en-US"/>
              </w:rPr>
              <w:t>Income</w:t>
            </w:r>
          </w:p>
        </w:tc>
        <w:tc>
          <w:tcPr>
            <w:tcW w:w="3402" w:type="dxa"/>
          </w:tcPr>
          <w:p w14:paraId="0754CE0D" w14:textId="77777777" w:rsidR="006F1B73" w:rsidRPr="00C21380" w:rsidRDefault="006F1B73" w:rsidP="00701207">
            <w:pPr>
              <w:pStyle w:val="NoSpacing"/>
              <w:jc w:val="center"/>
              <w:rPr>
                <w:b/>
                <w:bCs/>
                <w:color w:val="405E6E" w:themeColor="background1"/>
                <w:lang w:val="en-US"/>
              </w:rPr>
            </w:pPr>
            <w:r w:rsidRPr="00C21380">
              <w:rPr>
                <w:b/>
                <w:bCs/>
                <w:color w:val="405E6E" w:themeColor="background1"/>
                <w:lang w:val="en-US"/>
              </w:rPr>
              <w:t>Tax Rate</w:t>
            </w:r>
          </w:p>
        </w:tc>
      </w:tr>
      <w:tr w:rsidR="006F1B73" w14:paraId="4D0BFC8F" w14:textId="77777777" w:rsidTr="006F1B73">
        <w:tc>
          <w:tcPr>
            <w:tcW w:w="3397" w:type="dxa"/>
          </w:tcPr>
          <w:p w14:paraId="2C601A92" w14:textId="77777777" w:rsidR="006F1B73" w:rsidRPr="003F253B" w:rsidRDefault="006F1B73" w:rsidP="00701207">
            <w:pPr>
              <w:pStyle w:val="NoSpacing"/>
              <w:jc w:val="right"/>
              <w:rPr>
                <w:lang w:val="en-US"/>
              </w:rPr>
            </w:pPr>
            <w:r w:rsidRPr="003F253B">
              <w:rPr>
                <w:lang w:val="en-US"/>
              </w:rPr>
              <w:t>Up to £12,570</w:t>
            </w:r>
          </w:p>
        </w:tc>
        <w:tc>
          <w:tcPr>
            <w:tcW w:w="3402" w:type="dxa"/>
          </w:tcPr>
          <w:p w14:paraId="7DE81F76" w14:textId="77777777" w:rsidR="006F1B73" w:rsidRPr="003F253B" w:rsidRDefault="006F1B73" w:rsidP="00701207">
            <w:pPr>
              <w:pStyle w:val="NoSpacing"/>
              <w:jc w:val="center"/>
              <w:rPr>
                <w:lang w:val="en-US"/>
              </w:rPr>
            </w:pPr>
            <w:r w:rsidRPr="003F253B">
              <w:rPr>
                <w:lang w:val="en-US"/>
              </w:rPr>
              <w:t>NIL</w:t>
            </w:r>
          </w:p>
        </w:tc>
      </w:tr>
      <w:tr w:rsidR="006F1B73" w14:paraId="455F4C3B" w14:textId="77777777" w:rsidTr="006F1B73">
        <w:tc>
          <w:tcPr>
            <w:tcW w:w="3397" w:type="dxa"/>
          </w:tcPr>
          <w:p w14:paraId="5FE4DC2E" w14:textId="09D8AE82" w:rsidR="006F1B73" w:rsidRPr="003F253B" w:rsidRDefault="006F1B73" w:rsidP="00701207">
            <w:pPr>
              <w:pStyle w:val="NoSpacing"/>
              <w:jc w:val="right"/>
              <w:rPr>
                <w:lang w:val="en-US"/>
              </w:rPr>
            </w:pPr>
            <w:r w:rsidRPr="003F253B">
              <w:rPr>
                <w:lang w:val="en-US"/>
              </w:rPr>
              <w:t>£12,570 - £14,</w:t>
            </w:r>
            <w:r w:rsidR="00D1587B">
              <w:rPr>
                <w:lang w:val="en-US"/>
              </w:rPr>
              <w:t>876</w:t>
            </w:r>
          </w:p>
        </w:tc>
        <w:tc>
          <w:tcPr>
            <w:tcW w:w="3402" w:type="dxa"/>
          </w:tcPr>
          <w:p w14:paraId="69DFAF91" w14:textId="77777777" w:rsidR="006F1B73" w:rsidRPr="003F253B" w:rsidRDefault="006F1B73" w:rsidP="00701207">
            <w:pPr>
              <w:pStyle w:val="NoSpacing"/>
              <w:jc w:val="center"/>
              <w:rPr>
                <w:lang w:val="en-US"/>
              </w:rPr>
            </w:pPr>
            <w:r w:rsidRPr="003F253B">
              <w:rPr>
                <w:lang w:val="en-US"/>
              </w:rPr>
              <w:t>19%</w:t>
            </w:r>
          </w:p>
        </w:tc>
      </w:tr>
      <w:tr w:rsidR="006F1B73" w14:paraId="19C5A49D" w14:textId="77777777" w:rsidTr="006F1B73">
        <w:tc>
          <w:tcPr>
            <w:tcW w:w="3397" w:type="dxa"/>
          </w:tcPr>
          <w:p w14:paraId="73FC4541" w14:textId="60F5DC02" w:rsidR="006F1B73" w:rsidRPr="003F253B" w:rsidRDefault="006F1B73" w:rsidP="00701207">
            <w:pPr>
              <w:pStyle w:val="NoSpacing"/>
              <w:jc w:val="right"/>
              <w:rPr>
                <w:lang w:val="en-US"/>
              </w:rPr>
            </w:pPr>
            <w:r w:rsidRPr="003F253B">
              <w:rPr>
                <w:lang w:val="en-US"/>
              </w:rPr>
              <w:t>£14,</w:t>
            </w:r>
            <w:r w:rsidR="00D1587B">
              <w:rPr>
                <w:lang w:val="en-US"/>
              </w:rPr>
              <w:t>877</w:t>
            </w:r>
            <w:r w:rsidRPr="003F253B">
              <w:rPr>
                <w:lang w:val="en-US"/>
              </w:rPr>
              <w:t xml:space="preserve"> - £2</w:t>
            </w:r>
            <w:r w:rsidR="00D1587B">
              <w:rPr>
                <w:lang w:val="en-US"/>
              </w:rPr>
              <w:t>6,561</w:t>
            </w:r>
          </w:p>
        </w:tc>
        <w:tc>
          <w:tcPr>
            <w:tcW w:w="3402" w:type="dxa"/>
          </w:tcPr>
          <w:p w14:paraId="2FF9B5F1" w14:textId="77777777" w:rsidR="006F1B73" w:rsidRPr="003F253B" w:rsidRDefault="006F1B73" w:rsidP="00701207">
            <w:pPr>
              <w:pStyle w:val="NoSpacing"/>
              <w:jc w:val="center"/>
              <w:rPr>
                <w:lang w:val="en-US"/>
              </w:rPr>
            </w:pPr>
            <w:r w:rsidRPr="003F253B">
              <w:rPr>
                <w:lang w:val="en-US"/>
              </w:rPr>
              <w:t>20%</w:t>
            </w:r>
          </w:p>
        </w:tc>
      </w:tr>
      <w:tr w:rsidR="006F1B73" w14:paraId="12D14007" w14:textId="77777777" w:rsidTr="006F1B73">
        <w:tc>
          <w:tcPr>
            <w:tcW w:w="3397" w:type="dxa"/>
          </w:tcPr>
          <w:p w14:paraId="4E48C824" w14:textId="0BA33578" w:rsidR="006F1B73" w:rsidRPr="003F253B" w:rsidRDefault="006F1B73" w:rsidP="00701207">
            <w:pPr>
              <w:pStyle w:val="NoSpacing"/>
              <w:jc w:val="right"/>
              <w:rPr>
                <w:lang w:val="en-US"/>
              </w:rPr>
            </w:pPr>
            <w:r w:rsidRPr="003F253B">
              <w:rPr>
                <w:lang w:val="en-US"/>
              </w:rPr>
              <w:t>£2</w:t>
            </w:r>
            <w:r w:rsidR="00D1587B">
              <w:rPr>
                <w:lang w:val="en-US"/>
              </w:rPr>
              <w:t xml:space="preserve">6,562 - </w:t>
            </w:r>
            <w:r w:rsidRPr="003F253B">
              <w:rPr>
                <w:lang w:val="en-US"/>
              </w:rPr>
              <w:t>£43,662</w:t>
            </w:r>
          </w:p>
        </w:tc>
        <w:tc>
          <w:tcPr>
            <w:tcW w:w="3402" w:type="dxa"/>
          </w:tcPr>
          <w:p w14:paraId="5932F441" w14:textId="77777777" w:rsidR="006F1B73" w:rsidRPr="003F253B" w:rsidRDefault="006F1B73" w:rsidP="00701207">
            <w:pPr>
              <w:pStyle w:val="NoSpacing"/>
              <w:jc w:val="center"/>
              <w:rPr>
                <w:lang w:val="en-US"/>
              </w:rPr>
            </w:pPr>
            <w:r w:rsidRPr="003F253B">
              <w:rPr>
                <w:lang w:val="en-US"/>
              </w:rPr>
              <w:t>21%</w:t>
            </w:r>
          </w:p>
        </w:tc>
      </w:tr>
      <w:tr w:rsidR="006F1B73" w14:paraId="6481213C" w14:textId="77777777" w:rsidTr="006F1B73">
        <w:tc>
          <w:tcPr>
            <w:tcW w:w="3397" w:type="dxa"/>
          </w:tcPr>
          <w:p w14:paraId="0091FAEE" w14:textId="19381BDA" w:rsidR="006F1B73" w:rsidRPr="003F253B" w:rsidRDefault="006F1B73" w:rsidP="00701207">
            <w:pPr>
              <w:pStyle w:val="NoSpacing"/>
              <w:jc w:val="right"/>
              <w:rPr>
                <w:lang w:val="en-US"/>
              </w:rPr>
            </w:pPr>
            <w:r w:rsidRPr="003F253B">
              <w:rPr>
                <w:lang w:val="en-US"/>
              </w:rPr>
              <w:t>£43,663 - £</w:t>
            </w:r>
            <w:r w:rsidR="00D1587B">
              <w:rPr>
                <w:lang w:val="en-US"/>
              </w:rPr>
              <w:t>75,000</w:t>
            </w:r>
          </w:p>
        </w:tc>
        <w:tc>
          <w:tcPr>
            <w:tcW w:w="3402" w:type="dxa"/>
          </w:tcPr>
          <w:p w14:paraId="7B541A47" w14:textId="77777777" w:rsidR="006F1B73" w:rsidRPr="003F253B" w:rsidRDefault="006F1B73" w:rsidP="00701207">
            <w:pPr>
              <w:pStyle w:val="NoSpacing"/>
              <w:jc w:val="center"/>
              <w:rPr>
                <w:lang w:val="en-US"/>
              </w:rPr>
            </w:pPr>
            <w:r w:rsidRPr="003F253B">
              <w:rPr>
                <w:lang w:val="en-US"/>
              </w:rPr>
              <w:t>42%</w:t>
            </w:r>
          </w:p>
        </w:tc>
      </w:tr>
      <w:tr w:rsidR="00D1587B" w14:paraId="3D9CBAA0" w14:textId="77777777" w:rsidTr="006F1B73">
        <w:tc>
          <w:tcPr>
            <w:tcW w:w="3397" w:type="dxa"/>
          </w:tcPr>
          <w:p w14:paraId="5909E0CB" w14:textId="707F1236" w:rsidR="00D1587B" w:rsidRPr="003F253B" w:rsidRDefault="00D1587B" w:rsidP="00701207">
            <w:pPr>
              <w:pStyle w:val="NoSpacing"/>
              <w:jc w:val="right"/>
              <w:rPr>
                <w:lang w:val="en-US"/>
              </w:rPr>
            </w:pPr>
            <w:r>
              <w:rPr>
                <w:lang w:val="en-US"/>
              </w:rPr>
              <w:t>£75,001 - £125,140</w:t>
            </w:r>
          </w:p>
        </w:tc>
        <w:tc>
          <w:tcPr>
            <w:tcW w:w="3402" w:type="dxa"/>
          </w:tcPr>
          <w:p w14:paraId="6B01C2D8" w14:textId="2956DEBA" w:rsidR="00D1587B" w:rsidRPr="003F253B" w:rsidRDefault="00D1587B" w:rsidP="00701207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45%</w:t>
            </w:r>
          </w:p>
        </w:tc>
      </w:tr>
      <w:tr w:rsidR="006F1B73" w14:paraId="6E67FD0C" w14:textId="77777777" w:rsidTr="006F1B73">
        <w:tc>
          <w:tcPr>
            <w:tcW w:w="3397" w:type="dxa"/>
          </w:tcPr>
          <w:p w14:paraId="48E4E186" w14:textId="77777777" w:rsidR="006F1B73" w:rsidRPr="003F253B" w:rsidRDefault="006F1B73" w:rsidP="00701207">
            <w:pPr>
              <w:pStyle w:val="NoSpacing"/>
              <w:jc w:val="right"/>
              <w:rPr>
                <w:lang w:val="en-US"/>
              </w:rPr>
            </w:pPr>
            <w:r w:rsidRPr="003F253B">
              <w:rPr>
                <w:lang w:val="en-US"/>
              </w:rPr>
              <w:t>£125,140 and above</w:t>
            </w:r>
          </w:p>
        </w:tc>
        <w:tc>
          <w:tcPr>
            <w:tcW w:w="3402" w:type="dxa"/>
          </w:tcPr>
          <w:p w14:paraId="0FACACA5" w14:textId="3B9AE649" w:rsidR="006F1B73" w:rsidRPr="003F253B" w:rsidRDefault="006F1B73" w:rsidP="00701207">
            <w:pPr>
              <w:pStyle w:val="NoSpacing"/>
              <w:jc w:val="center"/>
              <w:rPr>
                <w:lang w:val="en-US"/>
              </w:rPr>
            </w:pPr>
            <w:r w:rsidRPr="003F253B">
              <w:rPr>
                <w:lang w:val="en-US"/>
              </w:rPr>
              <w:t>4</w:t>
            </w:r>
            <w:r w:rsidR="00D1587B">
              <w:rPr>
                <w:lang w:val="en-US"/>
              </w:rPr>
              <w:t>8</w:t>
            </w:r>
            <w:r w:rsidRPr="003F253B">
              <w:rPr>
                <w:lang w:val="en-US"/>
              </w:rPr>
              <w:t>%</w:t>
            </w:r>
          </w:p>
        </w:tc>
      </w:tr>
    </w:tbl>
    <w:p w14:paraId="26639DA9" w14:textId="77777777" w:rsidR="006F1B73" w:rsidRDefault="006F1B73" w:rsidP="006F1B73">
      <w:pPr>
        <w:pStyle w:val="NoSpacing"/>
        <w:rPr>
          <w:b/>
          <w:bCs/>
          <w:color w:val="6199AD" w:themeColor="text1"/>
          <w:lang w:val="en-US"/>
        </w:rPr>
      </w:pPr>
    </w:p>
    <w:p w14:paraId="56A4303D" w14:textId="77777777" w:rsidR="006F1B73" w:rsidRDefault="006F1B73" w:rsidP="006F1B73">
      <w:pPr>
        <w:pStyle w:val="NoSpacing"/>
        <w:rPr>
          <w:lang w:val="en-US"/>
        </w:rPr>
      </w:pPr>
      <w:r w:rsidRPr="00C21380">
        <w:rPr>
          <w:b/>
          <w:bCs/>
          <w:color w:val="405E6E" w:themeColor="background1"/>
          <w:lang w:val="en-US"/>
        </w:rPr>
        <w:t xml:space="preserve">IMPORTANT: </w:t>
      </w:r>
      <w:r>
        <w:rPr>
          <w:lang w:val="en-US"/>
        </w:rPr>
        <w:t xml:space="preserve">Your tax rates determine how much tax relief that you receive on pension contributions. If you contribute via Salary Sacrifice, you save personal NI as well. </w:t>
      </w:r>
    </w:p>
    <w:p w14:paraId="73DB77D0" w14:textId="77777777" w:rsidR="006F1B73" w:rsidRDefault="006F1B73" w:rsidP="006F1B73">
      <w:pPr>
        <w:pStyle w:val="NoSpacing"/>
        <w:rPr>
          <w:lang w:val="en-US"/>
        </w:rPr>
      </w:pPr>
    </w:p>
    <w:p w14:paraId="459056BB" w14:textId="77777777" w:rsidR="006F1B73" w:rsidRDefault="006F1B73" w:rsidP="006F1B73">
      <w:pPr>
        <w:pStyle w:val="NoSpacing"/>
        <w:rPr>
          <w:lang w:val="en-US"/>
        </w:rPr>
      </w:pPr>
      <w:r>
        <w:rPr>
          <w:lang w:val="en-US"/>
        </w:rPr>
        <w:t>The tax-free Personal Allowance of £12,570 is ‘lost’ on an incremental basis on income above £100,000 p.a. This creates an effective tax charge of 60% on income between £100,000 and £125,140. Those with income in this range may therefore receive effective tax relief of up to 60% on pensions contributions.</w:t>
      </w:r>
    </w:p>
    <w:p w14:paraId="6100313E" w14:textId="77777777" w:rsidR="006F1B73" w:rsidRDefault="006F1B73" w:rsidP="00EA50F8">
      <w:pPr>
        <w:pStyle w:val="NoSpacing"/>
        <w:rPr>
          <w:color w:val="405E6E" w:themeColor="background1"/>
          <w:lang w:val="en-US"/>
        </w:rPr>
      </w:pPr>
    </w:p>
    <w:p w14:paraId="76F0A5AD" w14:textId="77777777" w:rsidR="006F1B73" w:rsidRDefault="006F1B73" w:rsidP="00EA50F8">
      <w:pPr>
        <w:pStyle w:val="NoSpacing"/>
        <w:rPr>
          <w:color w:val="405E6E" w:themeColor="background1"/>
          <w:lang w:val="en-US"/>
        </w:rPr>
      </w:pPr>
    </w:p>
    <w:p w14:paraId="0910C8B3" w14:textId="77777777" w:rsidR="006F1B73" w:rsidRPr="00647D2F" w:rsidRDefault="006F1B73" w:rsidP="006F1B73">
      <w:pPr>
        <w:pStyle w:val="NoSpacing"/>
        <w:rPr>
          <w:b/>
          <w:bCs/>
          <w:color w:val="405E6E" w:themeColor="background1"/>
          <w:sz w:val="24"/>
          <w:szCs w:val="24"/>
          <w:lang w:val="en-US"/>
        </w:rPr>
      </w:pPr>
      <w:r w:rsidRPr="00647D2F">
        <w:rPr>
          <w:b/>
          <w:bCs/>
          <w:color w:val="405E6E" w:themeColor="background1"/>
          <w:sz w:val="24"/>
          <w:szCs w:val="24"/>
          <w:lang w:val="en-US"/>
        </w:rPr>
        <w:t>National Living wage</w:t>
      </w:r>
    </w:p>
    <w:p w14:paraId="63F02F66" w14:textId="77777777" w:rsidR="006F1B73" w:rsidRDefault="006F1B73" w:rsidP="006F1B73">
      <w:pPr>
        <w:pStyle w:val="NoSpacing"/>
        <w:rPr>
          <w:lang w:val="en-US"/>
        </w:rPr>
      </w:pPr>
    </w:p>
    <w:p w14:paraId="10575AFD" w14:textId="1D6C87C2" w:rsidR="006F1B73" w:rsidRDefault="006F1B73" w:rsidP="006F1B73">
      <w:pPr>
        <w:pStyle w:val="NoSpacing"/>
        <w:rPr>
          <w:lang w:val="en-US"/>
        </w:rPr>
      </w:pPr>
      <w:r>
        <w:rPr>
          <w:lang w:val="en-US"/>
        </w:rPr>
        <w:t>I</w:t>
      </w:r>
      <w:r w:rsidRPr="002A18DE">
        <w:rPr>
          <w:lang w:val="en-US"/>
        </w:rPr>
        <w:t xml:space="preserve">ncreased to </w:t>
      </w:r>
      <w:r w:rsidRPr="008E79CC">
        <w:rPr>
          <w:b/>
          <w:bCs/>
          <w:lang w:val="en-US"/>
        </w:rPr>
        <w:t>£1</w:t>
      </w:r>
      <w:r w:rsidR="002C77C5">
        <w:rPr>
          <w:b/>
          <w:bCs/>
          <w:lang w:val="en-US"/>
        </w:rPr>
        <w:t>1.44</w:t>
      </w:r>
      <w:r w:rsidRPr="008E79CC">
        <w:rPr>
          <w:b/>
          <w:bCs/>
          <w:lang w:val="en-US"/>
        </w:rPr>
        <w:t xml:space="preserve"> per hour</w:t>
      </w:r>
      <w:r w:rsidRPr="002A18DE">
        <w:rPr>
          <w:lang w:val="en-US"/>
        </w:rPr>
        <w:t>.</w:t>
      </w:r>
    </w:p>
    <w:p w14:paraId="024A43DA" w14:textId="77777777" w:rsidR="006F1B73" w:rsidRDefault="006F1B73" w:rsidP="006F1B73">
      <w:pPr>
        <w:pStyle w:val="NoSpacing"/>
        <w:rPr>
          <w:lang w:val="en-US"/>
        </w:rPr>
      </w:pPr>
    </w:p>
    <w:p w14:paraId="7619AE8D" w14:textId="77777777" w:rsidR="006F1B73" w:rsidRPr="002A18DE" w:rsidRDefault="006F1B73" w:rsidP="006F1B73">
      <w:pPr>
        <w:pStyle w:val="NoSpacing"/>
        <w:rPr>
          <w:lang w:val="en-US"/>
        </w:rPr>
      </w:pPr>
    </w:p>
    <w:p w14:paraId="524A4572" w14:textId="77777777" w:rsidR="006F1B73" w:rsidRPr="00647D2F" w:rsidRDefault="006F1B73" w:rsidP="006F1B73">
      <w:pPr>
        <w:pStyle w:val="NoSpacing"/>
        <w:rPr>
          <w:b/>
          <w:bCs/>
          <w:color w:val="405E6E" w:themeColor="background1"/>
          <w:sz w:val="24"/>
          <w:szCs w:val="24"/>
          <w:lang w:val="en-US"/>
        </w:rPr>
      </w:pPr>
      <w:r w:rsidRPr="00647D2F">
        <w:rPr>
          <w:b/>
          <w:bCs/>
          <w:color w:val="405E6E" w:themeColor="background1"/>
          <w:sz w:val="24"/>
          <w:szCs w:val="24"/>
          <w:lang w:val="en-US"/>
        </w:rPr>
        <w:t>Capital Gains Tax (CGT)</w:t>
      </w:r>
    </w:p>
    <w:p w14:paraId="0656F851" w14:textId="77777777" w:rsidR="006F1B73" w:rsidRDefault="006F1B73" w:rsidP="006F1B73">
      <w:pPr>
        <w:pStyle w:val="NoSpacing"/>
        <w:rPr>
          <w:b/>
          <w:bCs/>
          <w:color w:val="405E6E" w:themeColor="background1"/>
          <w:lang w:val="en-US"/>
        </w:rPr>
      </w:pPr>
    </w:p>
    <w:p w14:paraId="5180DCFE" w14:textId="6E0BB24D" w:rsidR="006F1B73" w:rsidRDefault="006F1B73" w:rsidP="006F1B73">
      <w:pPr>
        <w:pStyle w:val="NoSpacing"/>
        <w:rPr>
          <w:lang w:val="en-US"/>
        </w:rPr>
      </w:pPr>
      <w:r>
        <w:rPr>
          <w:b/>
          <w:bCs/>
          <w:color w:val="405E6E" w:themeColor="background1"/>
          <w:lang w:val="en-US"/>
        </w:rPr>
        <w:t xml:space="preserve">Annual Exemption Allowance - </w:t>
      </w:r>
      <w:r>
        <w:rPr>
          <w:lang w:val="en-US"/>
        </w:rPr>
        <w:t>£</w:t>
      </w:r>
      <w:r w:rsidR="002C77C5">
        <w:rPr>
          <w:lang w:val="en-US"/>
        </w:rPr>
        <w:t>3</w:t>
      </w:r>
      <w:r>
        <w:rPr>
          <w:lang w:val="en-US"/>
        </w:rPr>
        <w:t>,000 (down from £</w:t>
      </w:r>
      <w:r w:rsidR="002C77C5">
        <w:rPr>
          <w:lang w:val="en-US"/>
        </w:rPr>
        <w:t>6,000</w:t>
      </w:r>
      <w:r>
        <w:rPr>
          <w:lang w:val="en-US"/>
        </w:rPr>
        <w:t>).</w:t>
      </w:r>
    </w:p>
    <w:p w14:paraId="57AAE47F" w14:textId="77777777" w:rsidR="006F1B73" w:rsidRDefault="006F1B73" w:rsidP="006F1B73">
      <w:pPr>
        <w:pStyle w:val="NoSpacing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F1B73" w14:paraId="71B44E38" w14:textId="77777777" w:rsidTr="00701207">
        <w:tc>
          <w:tcPr>
            <w:tcW w:w="3005" w:type="dxa"/>
          </w:tcPr>
          <w:p w14:paraId="520CCF60" w14:textId="77777777" w:rsidR="006F1B73" w:rsidRDefault="006F1B73" w:rsidP="00701207">
            <w:pPr>
              <w:pStyle w:val="NoSpacing"/>
              <w:rPr>
                <w:lang w:val="en-US"/>
              </w:rPr>
            </w:pPr>
          </w:p>
        </w:tc>
        <w:tc>
          <w:tcPr>
            <w:tcW w:w="3005" w:type="dxa"/>
          </w:tcPr>
          <w:p w14:paraId="507C7DA6" w14:textId="77777777" w:rsidR="006F1B73" w:rsidRPr="00EC6CE4" w:rsidRDefault="006F1B73" w:rsidP="00701207">
            <w:pPr>
              <w:pStyle w:val="NoSpacing"/>
              <w:jc w:val="center"/>
              <w:rPr>
                <w:b/>
                <w:bCs/>
                <w:color w:val="405E6E" w:themeColor="background1"/>
                <w:lang w:val="en-US"/>
              </w:rPr>
            </w:pPr>
            <w:r w:rsidRPr="00EC6CE4">
              <w:rPr>
                <w:b/>
                <w:bCs/>
                <w:color w:val="405E6E" w:themeColor="background1"/>
                <w:lang w:val="en-US"/>
              </w:rPr>
              <w:t>CGT Rate</w:t>
            </w:r>
          </w:p>
        </w:tc>
        <w:tc>
          <w:tcPr>
            <w:tcW w:w="3006" w:type="dxa"/>
          </w:tcPr>
          <w:p w14:paraId="52ED3919" w14:textId="77777777" w:rsidR="006F1B73" w:rsidRPr="00EC6CE4" w:rsidRDefault="006F1B73" w:rsidP="00701207">
            <w:pPr>
              <w:pStyle w:val="NoSpacing"/>
              <w:jc w:val="center"/>
              <w:rPr>
                <w:b/>
                <w:bCs/>
                <w:color w:val="405E6E" w:themeColor="background1"/>
                <w:lang w:val="en-US"/>
              </w:rPr>
            </w:pPr>
            <w:r w:rsidRPr="00EC6CE4">
              <w:rPr>
                <w:b/>
                <w:bCs/>
                <w:color w:val="405E6E" w:themeColor="background1"/>
                <w:lang w:val="en-US"/>
              </w:rPr>
              <w:t>Additional Rate for Residential Property</w:t>
            </w:r>
          </w:p>
        </w:tc>
      </w:tr>
      <w:tr w:rsidR="006F1B73" w:rsidRPr="00EC6CE4" w14:paraId="4A7211A0" w14:textId="77777777" w:rsidTr="00701207">
        <w:tc>
          <w:tcPr>
            <w:tcW w:w="3005" w:type="dxa"/>
          </w:tcPr>
          <w:p w14:paraId="2D29A7E4" w14:textId="77777777" w:rsidR="006F1B73" w:rsidRPr="00EC6CE4" w:rsidRDefault="006F1B73" w:rsidP="00701207">
            <w:pPr>
              <w:pStyle w:val="NoSpacing"/>
              <w:rPr>
                <w:b/>
                <w:bCs/>
                <w:color w:val="405E6E" w:themeColor="background1"/>
                <w:lang w:val="en-US"/>
              </w:rPr>
            </w:pPr>
            <w:r w:rsidRPr="00EC6CE4">
              <w:rPr>
                <w:b/>
                <w:bCs/>
                <w:color w:val="405E6E" w:themeColor="background1"/>
                <w:lang w:val="en-US"/>
              </w:rPr>
              <w:t>Higher Rate</w:t>
            </w:r>
          </w:p>
        </w:tc>
        <w:tc>
          <w:tcPr>
            <w:tcW w:w="3005" w:type="dxa"/>
          </w:tcPr>
          <w:p w14:paraId="321A9EE2" w14:textId="77777777" w:rsidR="006F1B73" w:rsidRPr="006F1B73" w:rsidRDefault="006F1B73" w:rsidP="00701207">
            <w:pPr>
              <w:pStyle w:val="NoSpacing"/>
              <w:jc w:val="center"/>
              <w:rPr>
                <w:lang w:val="en-US"/>
              </w:rPr>
            </w:pPr>
            <w:r w:rsidRPr="006F1B73">
              <w:rPr>
                <w:lang w:val="en-US"/>
              </w:rPr>
              <w:t>10%</w:t>
            </w:r>
          </w:p>
        </w:tc>
        <w:tc>
          <w:tcPr>
            <w:tcW w:w="3006" w:type="dxa"/>
          </w:tcPr>
          <w:p w14:paraId="424E21C3" w14:textId="77777777" w:rsidR="006F1B73" w:rsidRPr="006F1B73" w:rsidRDefault="006F1B73" w:rsidP="00701207">
            <w:pPr>
              <w:pStyle w:val="NoSpacing"/>
              <w:jc w:val="center"/>
              <w:rPr>
                <w:lang w:val="en-US"/>
              </w:rPr>
            </w:pPr>
            <w:r w:rsidRPr="006F1B73">
              <w:rPr>
                <w:lang w:val="en-US"/>
              </w:rPr>
              <w:t>+8%</w:t>
            </w:r>
          </w:p>
        </w:tc>
      </w:tr>
      <w:tr w:rsidR="006F1B73" w:rsidRPr="00EC6CE4" w14:paraId="14D7FD59" w14:textId="77777777" w:rsidTr="00701207">
        <w:tc>
          <w:tcPr>
            <w:tcW w:w="3005" w:type="dxa"/>
          </w:tcPr>
          <w:p w14:paraId="151B1486" w14:textId="77777777" w:rsidR="006F1B73" w:rsidRPr="00EC6CE4" w:rsidRDefault="006F1B73" w:rsidP="00701207">
            <w:pPr>
              <w:pStyle w:val="NoSpacing"/>
              <w:rPr>
                <w:b/>
                <w:bCs/>
                <w:color w:val="405E6E" w:themeColor="background1"/>
                <w:lang w:val="en-US"/>
              </w:rPr>
            </w:pPr>
            <w:r w:rsidRPr="00EC6CE4">
              <w:rPr>
                <w:b/>
                <w:bCs/>
                <w:color w:val="405E6E" w:themeColor="background1"/>
                <w:lang w:val="en-US"/>
              </w:rPr>
              <w:t>Basic Rate</w:t>
            </w:r>
          </w:p>
        </w:tc>
        <w:tc>
          <w:tcPr>
            <w:tcW w:w="3005" w:type="dxa"/>
          </w:tcPr>
          <w:p w14:paraId="4AEF13A6" w14:textId="77777777" w:rsidR="006F1B73" w:rsidRPr="006F1B73" w:rsidRDefault="006F1B73" w:rsidP="00701207">
            <w:pPr>
              <w:pStyle w:val="NoSpacing"/>
              <w:jc w:val="center"/>
              <w:rPr>
                <w:lang w:val="en-US"/>
              </w:rPr>
            </w:pPr>
            <w:r w:rsidRPr="006F1B73">
              <w:rPr>
                <w:lang w:val="en-US"/>
              </w:rPr>
              <w:t>20%</w:t>
            </w:r>
          </w:p>
        </w:tc>
        <w:tc>
          <w:tcPr>
            <w:tcW w:w="3006" w:type="dxa"/>
          </w:tcPr>
          <w:p w14:paraId="50D19F45" w14:textId="6FB08D0E" w:rsidR="006F1B73" w:rsidRPr="006F1B73" w:rsidRDefault="006F1B73" w:rsidP="00701207">
            <w:pPr>
              <w:pStyle w:val="NoSpacing"/>
              <w:jc w:val="center"/>
              <w:rPr>
                <w:lang w:val="en-US"/>
              </w:rPr>
            </w:pPr>
            <w:r w:rsidRPr="006F1B73">
              <w:rPr>
                <w:lang w:val="en-US"/>
              </w:rPr>
              <w:t>+</w:t>
            </w:r>
            <w:r w:rsidR="002C77C5">
              <w:rPr>
                <w:lang w:val="en-US"/>
              </w:rPr>
              <w:t>4</w:t>
            </w:r>
            <w:r w:rsidRPr="006F1B73">
              <w:rPr>
                <w:lang w:val="en-US"/>
              </w:rPr>
              <w:t>%</w:t>
            </w:r>
          </w:p>
        </w:tc>
      </w:tr>
    </w:tbl>
    <w:p w14:paraId="21B4E6A1" w14:textId="63C143F5" w:rsidR="0019314B" w:rsidRPr="009D2775" w:rsidRDefault="006F1B73" w:rsidP="00EA50F8">
      <w:pPr>
        <w:pStyle w:val="NoSpacing"/>
        <w:rPr>
          <w:color w:val="405E6E" w:themeColor="background1"/>
          <w:lang w:val="en-US"/>
        </w:rPr>
      </w:pPr>
      <w:r w:rsidRPr="009D2775">
        <w:rPr>
          <w:noProof/>
          <w:color w:val="405E6E" w:themeColor="background1"/>
          <w:kern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6D2C00B" wp14:editId="5D3BF2A4">
                <wp:simplePos x="0" y="0"/>
                <wp:positionH relativeFrom="margin">
                  <wp:posOffset>4680585</wp:posOffset>
                </wp:positionH>
                <wp:positionV relativeFrom="margin">
                  <wp:posOffset>7470775</wp:posOffset>
                </wp:positionV>
                <wp:extent cx="1649730" cy="998220"/>
                <wp:effectExtent l="0" t="0" r="0" b="0"/>
                <wp:wrapNone/>
                <wp:docPr id="20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730" cy="998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DE226F" w14:textId="77777777" w:rsidR="008E79CC" w:rsidRPr="00DE49C3" w:rsidRDefault="008E79CC" w:rsidP="008E79CC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  <w:r w:rsidRPr="00DE49C3">
                              <w:t xml:space="preserve">Unit 965, Cornforth Drive     </w:t>
                            </w:r>
                          </w:p>
                          <w:p w14:paraId="53DBE140" w14:textId="77777777" w:rsidR="008E79CC" w:rsidRPr="00DE49C3" w:rsidRDefault="008E79CC" w:rsidP="008E79CC">
                            <w:pPr>
                              <w:pStyle w:val="ListParagraph"/>
                            </w:pPr>
                            <w:r w:rsidRPr="00DE49C3">
                              <w:t>Sittingbourne</w:t>
                            </w:r>
                          </w:p>
                          <w:p w14:paraId="355D47CA" w14:textId="77777777" w:rsidR="008E79CC" w:rsidRPr="00DE49C3" w:rsidRDefault="008E79CC" w:rsidP="008E79CC">
                            <w:pPr>
                              <w:pStyle w:val="ListParagraph"/>
                            </w:pPr>
                            <w:r w:rsidRPr="00DE49C3">
                              <w:t>Kent</w:t>
                            </w:r>
                          </w:p>
                          <w:p w14:paraId="5697EDAB" w14:textId="77777777" w:rsidR="008E79CC" w:rsidRPr="00DE49C3" w:rsidRDefault="008E79CC" w:rsidP="008E79CC">
                            <w:pPr>
                              <w:pStyle w:val="ListParagraph"/>
                            </w:pPr>
                            <w:r w:rsidRPr="00DE49C3">
                              <w:t xml:space="preserve">ME9 8PX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2C00B" id="Rectangle 3" o:spid="_x0000_s1026" style="position:absolute;margin-left:368.55pt;margin-top:588.25pt;width:129.9pt;height:78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Z8+awEAAMkCAAAOAAAAZHJzL2Uyb0RvYy54bWysUsFOwzAMvSPxD1HurNtAY6vWTUgTXBAg&#10;DT4gS5O1UhMHO1u7v8cNY0NwQ1wcO3aen58zX3auEXuDVIMv5GgwlMJ4DWXtt4V8e72/mkpBUflS&#10;NeBNIQ+G5HJxeTFvQ27GUEFTGhQM4ilvQyGrGEOeZaQr4xQNIBjPSQvoVOQQt1mJqmV012Tj4XCS&#10;tYBlQNCGiG9Xn0m5SPjWGh2frSUTRVNI5haTxWQ3vc0Wc5VvUYWq1kca6g8snKo9Nz1BrVRUYof1&#10;LyhXawQCGwcaXAbW1tqkGXia0fDHNOtKBZNmYXEonGSi/4PVT/t1eEGWoQ2UE7v9FJ1F15/MT3RJ&#10;rMNJLNNFoflyNLmZ3V6zpppzs9l0PE5qZufXASk+GHCidwqJvIykkdo/UuSOXPpVwsG5f+/FbtMd&#10;SW2gPLygaHlJhaT3ncJeE5V7uNtFsHWC6t98Fh6hWK/U4bjbfiHf41R1/oGLDwAAAP//AwBQSwME&#10;FAAGAAgAAAAhAKaK9fDkAAAADQEAAA8AAABkcnMvZG93bnJldi54bWxMj8FOg0AQhu8mvsNmTLyY&#10;dkEiCLI0pomxMU0aae15y65AZGcpuwV8e8eTHmf+L/98k69m07FRD661KCBcBsA0Vla1WAs47F8W&#10;j8Ccl6hkZ1EL+NYOVsX1VS4zZSd812Ppa0Yl6DIpoPG+zzh3VaONdEvba6Ts0w5GehqHmqtBTlRu&#10;On4fBDE3skW60MherxtdfZUXI2CqduNxv33lu7vjxuJ5c16XH29C3N7Mz0/AvJ79Hwy/+qQOBTmd&#10;7AWVY52AJEpCQikIk/gBGCFpGqfATrSKoigBXuT8/xfFDwAAAP//AwBQSwECLQAUAAYACAAAACEA&#10;toM4kv4AAADhAQAAEwAAAAAAAAAAAAAAAAAAAAAAW0NvbnRlbnRfVHlwZXNdLnhtbFBLAQItABQA&#10;BgAIAAAAIQA4/SH/1gAAAJQBAAALAAAAAAAAAAAAAAAAAC8BAABfcmVscy8ucmVsc1BLAQItABQA&#10;BgAIAAAAIQA8tZ8+awEAAMkCAAAOAAAAAAAAAAAAAAAAAC4CAABkcnMvZTJvRG9jLnhtbFBLAQIt&#10;ABQABgAIAAAAIQCmivXw5AAAAA0BAAAPAAAAAAAAAAAAAAAAAMUDAABkcnMvZG93bnJldi54bWxQ&#10;SwUGAAAAAAQABADzAAAA1gQAAAAA&#10;" filled="f" stroked="f">
                <v:textbox>
                  <w:txbxContent>
                    <w:p w14:paraId="3BDE226F" w14:textId="77777777" w:rsidR="008E79CC" w:rsidRPr="00DE49C3" w:rsidRDefault="008E79CC" w:rsidP="008E79CC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  <w:r w:rsidRPr="00DE49C3">
                        <w:t xml:space="preserve">Unit 965, Cornforth Drive     </w:t>
                      </w:r>
                    </w:p>
                    <w:p w14:paraId="53DBE140" w14:textId="77777777" w:rsidR="008E79CC" w:rsidRPr="00DE49C3" w:rsidRDefault="008E79CC" w:rsidP="008E79CC">
                      <w:pPr>
                        <w:pStyle w:val="ListParagraph"/>
                      </w:pPr>
                      <w:r w:rsidRPr="00DE49C3">
                        <w:t>Sittingbourne</w:t>
                      </w:r>
                    </w:p>
                    <w:p w14:paraId="355D47CA" w14:textId="77777777" w:rsidR="008E79CC" w:rsidRPr="00DE49C3" w:rsidRDefault="008E79CC" w:rsidP="008E79CC">
                      <w:pPr>
                        <w:pStyle w:val="ListParagraph"/>
                      </w:pPr>
                      <w:r w:rsidRPr="00DE49C3">
                        <w:t>Kent</w:t>
                      </w:r>
                    </w:p>
                    <w:p w14:paraId="5697EDAB" w14:textId="77777777" w:rsidR="008E79CC" w:rsidRPr="00DE49C3" w:rsidRDefault="008E79CC" w:rsidP="008E79CC">
                      <w:pPr>
                        <w:pStyle w:val="ListParagraph"/>
                      </w:pPr>
                      <w:r w:rsidRPr="00DE49C3">
                        <w:t xml:space="preserve">ME9 8PX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9D2775">
        <w:rPr>
          <w:noProof/>
          <w:color w:val="405E6E" w:themeColor="background1"/>
        </w:rPr>
        <w:drawing>
          <wp:anchor distT="0" distB="0" distL="114300" distR="114300" simplePos="0" relativeHeight="251667456" behindDoc="1" locked="0" layoutInCell="1" allowOverlap="1" wp14:anchorId="46293EA3" wp14:editId="47C19FE7">
            <wp:simplePos x="0" y="0"/>
            <wp:positionH relativeFrom="margin">
              <wp:posOffset>4137660</wp:posOffset>
            </wp:positionH>
            <wp:positionV relativeFrom="paragraph">
              <wp:posOffset>4080510</wp:posOffset>
            </wp:positionV>
            <wp:extent cx="874395" cy="854075"/>
            <wp:effectExtent l="0" t="0" r="1905" b="3175"/>
            <wp:wrapNone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85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775">
        <w:rPr>
          <w:noProof/>
          <w:color w:val="405E6E" w:themeColor="background1"/>
        </w:rPr>
        <w:drawing>
          <wp:anchor distT="0" distB="0" distL="114300" distR="114300" simplePos="0" relativeHeight="251668480" behindDoc="1" locked="0" layoutInCell="1" allowOverlap="1" wp14:anchorId="4C6DB6B2" wp14:editId="3D55C32F">
            <wp:simplePos x="0" y="0"/>
            <wp:positionH relativeFrom="margin">
              <wp:posOffset>1685925</wp:posOffset>
            </wp:positionH>
            <wp:positionV relativeFrom="paragraph">
              <wp:posOffset>4104005</wp:posOffset>
            </wp:positionV>
            <wp:extent cx="960120" cy="882015"/>
            <wp:effectExtent l="0" t="0" r="0" b="0"/>
            <wp:wrapNone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775">
        <w:rPr>
          <w:noProof/>
          <w:color w:val="405E6E" w:themeColor="background1"/>
        </w:rPr>
        <w:drawing>
          <wp:anchor distT="0" distB="0" distL="114300" distR="114300" simplePos="0" relativeHeight="251666432" behindDoc="1" locked="0" layoutInCell="1" allowOverlap="1" wp14:anchorId="32433F68" wp14:editId="4143C0BB">
            <wp:simplePos x="0" y="0"/>
            <wp:positionH relativeFrom="margin">
              <wp:posOffset>-535305</wp:posOffset>
            </wp:positionH>
            <wp:positionV relativeFrom="paragraph">
              <wp:posOffset>4086860</wp:posOffset>
            </wp:positionV>
            <wp:extent cx="868680" cy="996315"/>
            <wp:effectExtent l="0" t="0" r="7620" b="0"/>
            <wp:wrapNone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D2F" w:rsidRPr="009D2775">
        <w:rPr>
          <w:noProof/>
          <w:color w:val="405E6E" w:themeColor="background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F757B7" wp14:editId="5F0E14B2">
                <wp:simplePos x="0" y="0"/>
                <wp:positionH relativeFrom="page">
                  <wp:posOffset>38100</wp:posOffset>
                </wp:positionH>
                <wp:positionV relativeFrom="paragraph">
                  <wp:posOffset>5260340</wp:posOffset>
                </wp:positionV>
                <wp:extent cx="7560000" cy="1181100"/>
                <wp:effectExtent l="0" t="0" r="3175" b="0"/>
                <wp:wrapNone/>
                <wp:docPr id="1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11811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05E6E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405E6E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405E6E">
                                <a:shade val="100000"/>
                                <a:satMod val="115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E6D8FC" w14:textId="77777777" w:rsidR="008E79CC" w:rsidRPr="00636DE6" w:rsidRDefault="008E79CC" w:rsidP="008E79CC">
                            <w:pPr>
                              <w:pStyle w:val="NoSpacing"/>
                              <w:jc w:val="center"/>
                              <w:rPr>
                                <w:color w:val="FFFFFF" w:themeColor="background2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36DE6">
                              <w:rPr>
                                <w:color w:val="FFFFFF" w:themeColor="background2"/>
                                <w:sz w:val="20"/>
                                <w:szCs w:val="20"/>
                                <w:lang w:val="en-US"/>
                              </w:rPr>
                              <w:t>This document is generic information only and not specific advice tailored in any way to individual circumstances and should be read with this in mind.</w:t>
                            </w:r>
                          </w:p>
                          <w:p w14:paraId="401F3010" w14:textId="77777777" w:rsidR="008E79CC" w:rsidRPr="00636DE6" w:rsidRDefault="008E79CC" w:rsidP="008E79CC">
                            <w:pPr>
                              <w:pStyle w:val="NoSpacing"/>
                              <w:jc w:val="center"/>
                              <w:rPr>
                                <w:color w:val="FFFFFF" w:themeColor="background2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7839AAD" w14:textId="77777777" w:rsidR="008E79CC" w:rsidRPr="00636DE6" w:rsidRDefault="008E79CC" w:rsidP="008E79CC">
                            <w:pPr>
                              <w:pStyle w:val="NoSpacing"/>
                              <w:jc w:val="center"/>
                              <w:rPr>
                                <w:color w:val="FFFFFF" w:themeColor="background2"/>
                                <w:sz w:val="20"/>
                                <w:szCs w:val="20"/>
                              </w:rPr>
                            </w:pPr>
                            <w:r w:rsidRPr="00636DE6">
                              <w:rPr>
                                <w:color w:val="FFFFFF" w:themeColor="background2"/>
                                <w:sz w:val="20"/>
                                <w:szCs w:val="20"/>
                                <w:lang w:val="en-US"/>
                              </w:rPr>
                              <w:t xml:space="preserve">PK Employee Benefits is a trading name of PK Financial Planning LLP which is </w:t>
                            </w:r>
                            <w:proofErr w:type="spellStart"/>
                            <w:r w:rsidRPr="00636DE6">
                              <w:rPr>
                                <w:color w:val="FFFFFF" w:themeColor="background2"/>
                                <w:sz w:val="20"/>
                                <w:szCs w:val="20"/>
                                <w:lang w:val="en-US"/>
                              </w:rPr>
                              <w:t>authorised</w:t>
                            </w:r>
                            <w:proofErr w:type="spellEnd"/>
                            <w:r w:rsidRPr="00636DE6">
                              <w:rPr>
                                <w:color w:val="FFFFFF" w:themeColor="background2"/>
                                <w:sz w:val="20"/>
                                <w:szCs w:val="20"/>
                                <w:lang w:val="en-US"/>
                              </w:rPr>
                              <w:t xml:space="preserve"> and regulated by the Financial Conduct Authority.</w:t>
                            </w:r>
                          </w:p>
                          <w:p w14:paraId="5ED18F8D" w14:textId="77777777" w:rsidR="008E79CC" w:rsidRDefault="008E79CC" w:rsidP="008E79CC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757B7" id="Rectangle 12" o:spid="_x0000_s1027" style="position:absolute;margin-left:3pt;margin-top:414.2pt;width:595.3pt;height:9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666OgIAAAwFAAAOAAAAZHJzL2Uyb0RvYy54bWysVMlu2zAQvRfoPxC815LceoFhOSjipJcu&#10;QdOiZ5oiJQLcwGEs++87JL0E7aUJqgNFDmd9b4brm4PRZC8CKGdb2kxqSoTlrlO2b+nPH/fvlpRA&#10;ZLZj2lnR0qMAerN5+2Y9+pWYusHpTgSCTiysRt/SIUa/qirggzAMJs4Li5fSBcMiHkNfdYGN6N3o&#10;alrX82p0ofPBcQGA0m25pJvsX0rB4zcpQUSiW4q5xbyGvO7SWm3WbNUH5gfFT2mwV2RhmLIY9OJq&#10;yyIjT0H95cooHhw4GSfcmcpJqbjINWA1Tf1HNY8D8yLXguCAv8AE/88t/7p/9A8BYRg9rAC3qYqD&#10;DCb9MT9yyGAdL2CJQyQchYvZvMaPEo53TbNsGjygn+pq7gPET8IZkjYtDchGBontP0MsqmeVE3bd&#10;vdKaSK2wFSw2DCXBxV8qDhkKjFNABrTPFkC8QzTqLIbQ7251IHuGZH+oZ3fzuyIfWCeK9H1OOZMO&#10;LH5xXRE3zSyVUlI6ucmV9PA8TFL651DzBaqX/npFKATzBbFO2i+rC4nqz0BqZQlLI4t8AmdadAnr&#10;7C8qLb4jcwUcHJXMUYJFWzKi2nSBdRLOkDKpWcSt8WgOtqeE6R6fBR5DJsK6RG/2mnjfMhgK/uC0&#10;6ko4oyI+CFqZli4LBiWwtimkyCN96p5rx6ZdPOwORJ3zTpKd644PgYSob10Zf2b54HD6rwl9fIpO&#10;qlzc1QSpTwccudIE5XlIM/38nLWuj9jmNwAAAP//AwBQSwMEFAAGAAgAAAAhABxQZjDgAAAACwEA&#10;AA8AAABkcnMvZG93bnJldi54bWxMj0FPg0AQhe8m/ofNmHizCw1BRJZGGzXGW7GJ1y07AoGdRWZb&#10;0F/v9qS3N3mT975XbBY7iBNO3DlSEK8iEEi1Mx01CvbvzzcZCPaajB4coYJvZNiUlxeFzo2baYen&#10;yjcihBDnWkHr/ZhLyXWLVvPKjUjB+3ST1T6cUyPNpOcQbge5jqJUWt1RaGj1iNsW6746WgVvr/yT&#10;PN7ap5eP5mu/nfuMq56Vur5aHu5BeFz83zOc8QM6lIHp4I5kWAwK0rDEK8jWWQLi7Md3aQriEFQU&#10;JwnIspD/N5S/AAAA//8DAFBLAQItABQABgAIAAAAIQC2gziS/gAAAOEBAAATAAAAAAAAAAAAAAAA&#10;AAAAAABbQ29udGVudF9UeXBlc10ueG1sUEsBAi0AFAAGAAgAAAAhADj9If/WAAAAlAEAAAsAAAAA&#10;AAAAAAAAAAAALwEAAF9yZWxzLy5yZWxzUEsBAi0AFAAGAAgAAAAhAAQ/rro6AgAADAUAAA4AAAAA&#10;AAAAAAAAAAAALgIAAGRycy9lMm9Eb2MueG1sUEsBAi0AFAAGAAgAAAAhABxQZjDgAAAACwEAAA8A&#10;AAAAAAAAAAAAAAAAlAQAAGRycy9kb3ducmV2LnhtbFBLBQYAAAAABAAEAPMAAAChBQAAAAA=&#10;" fillcolor="#1f343f" stroked="f" strokeweight="1pt">
                <v:fill color2="#3d5f71" rotate="t" angle="90" colors="0 #1f343f;.5 #314f5e;1 #3d5f71" focus="100%" type="gradient"/>
                <v:textbox>
                  <w:txbxContent>
                    <w:p w14:paraId="71E6D8FC" w14:textId="77777777" w:rsidR="008E79CC" w:rsidRPr="00636DE6" w:rsidRDefault="008E79CC" w:rsidP="008E79CC">
                      <w:pPr>
                        <w:pStyle w:val="NoSpacing"/>
                        <w:jc w:val="center"/>
                        <w:rPr>
                          <w:color w:val="FFFFFF" w:themeColor="background2"/>
                          <w:sz w:val="20"/>
                          <w:szCs w:val="20"/>
                          <w:lang w:val="en-US"/>
                        </w:rPr>
                      </w:pPr>
                      <w:r w:rsidRPr="00636DE6">
                        <w:rPr>
                          <w:color w:val="FFFFFF" w:themeColor="background2"/>
                          <w:sz w:val="20"/>
                          <w:szCs w:val="20"/>
                          <w:lang w:val="en-US"/>
                        </w:rPr>
                        <w:t>This document is generic information only and not specific advice tailored in any way to individual circumstances and should be read with this in mind.</w:t>
                      </w:r>
                    </w:p>
                    <w:p w14:paraId="401F3010" w14:textId="77777777" w:rsidR="008E79CC" w:rsidRPr="00636DE6" w:rsidRDefault="008E79CC" w:rsidP="008E79CC">
                      <w:pPr>
                        <w:pStyle w:val="NoSpacing"/>
                        <w:jc w:val="center"/>
                        <w:rPr>
                          <w:color w:val="FFFFFF" w:themeColor="background2"/>
                          <w:sz w:val="20"/>
                          <w:szCs w:val="20"/>
                          <w:lang w:val="en-US"/>
                        </w:rPr>
                      </w:pPr>
                    </w:p>
                    <w:p w14:paraId="07839AAD" w14:textId="77777777" w:rsidR="008E79CC" w:rsidRPr="00636DE6" w:rsidRDefault="008E79CC" w:rsidP="008E79CC">
                      <w:pPr>
                        <w:pStyle w:val="NoSpacing"/>
                        <w:jc w:val="center"/>
                        <w:rPr>
                          <w:color w:val="FFFFFF" w:themeColor="background2"/>
                          <w:sz w:val="20"/>
                          <w:szCs w:val="20"/>
                        </w:rPr>
                      </w:pPr>
                      <w:r w:rsidRPr="00636DE6">
                        <w:rPr>
                          <w:color w:val="FFFFFF" w:themeColor="background2"/>
                          <w:sz w:val="20"/>
                          <w:szCs w:val="20"/>
                          <w:lang w:val="en-US"/>
                        </w:rPr>
                        <w:t xml:space="preserve">PK Employee Benefits is a trading name of PK Financial Planning LLP which is </w:t>
                      </w:r>
                      <w:proofErr w:type="spellStart"/>
                      <w:r w:rsidRPr="00636DE6">
                        <w:rPr>
                          <w:color w:val="FFFFFF" w:themeColor="background2"/>
                          <w:sz w:val="20"/>
                          <w:szCs w:val="20"/>
                          <w:lang w:val="en-US"/>
                        </w:rPr>
                        <w:t>authorised</w:t>
                      </w:r>
                      <w:proofErr w:type="spellEnd"/>
                      <w:r w:rsidRPr="00636DE6">
                        <w:rPr>
                          <w:color w:val="FFFFFF" w:themeColor="background2"/>
                          <w:sz w:val="20"/>
                          <w:szCs w:val="20"/>
                          <w:lang w:val="en-US"/>
                        </w:rPr>
                        <w:t xml:space="preserve"> and regulated by the Financial Conduct Authority.</w:t>
                      </w:r>
                    </w:p>
                    <w:p w14:paraId="5ED18F8D" w14:textId="77777777" w:rsidR="008E79CC" w:rsidRDefault="008E79CC" w:rsidP="008E79CC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E79CC" w:rsidRPr="009D2775">
        <w:rPr>
          <w:noProof/>
          <w:color w:val="405E6E" w:themeColor="background1"/>
          <w:kern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07B5A982" wp14:editId="44DEA00C">
                <wp:simplePos x="0" y="0"/>
                <wp:positionH relativeFrom="margin">
                  <wp:posOffset>2613660</wp:posOffset>
                </wp:positionH>
                <wp:positionV relativeFrom="margin">
                  <wp:posOffset>7787005</wp:posOffset>
                </wp:positionV>
                <wp:extent cx="1263015" cy="377825"/>
                <wp:effectExtent l="0" t="0" r="0" b="0"/>
                <wp:wrapSquare wrapText="bothSides"/>
                <wp:docPr id="200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015" cy="377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EC75211" w14:textId="77777777" w:rsidR="008E79CC" w:rsidRPr="00DE49C3" w:rsidRDefault="008E79CC" w:rsidP="008E79C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E49C3">
                              <w:rPr>
                                <w:kern w:val="24"/>
                                <w:sz w:val="24"/>
                                <w:szCs w:val="24"/>
                              </w:rPr>
                              <w:t>eb@pkgroup.co.uk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5A982" id="Rectangle 8" o:spid="_x0000_s1028" style="position:absolute;margin-left:205.8pt;margin-top:613.15pt;width:99.45pt;height:29.75pt;z-index:2516705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0hbAEAAM4CAAAOAAAAZHJzL2Uyb0RvYy54bWysUstuwjAQvFfqP1i+l4QgoIpIUCVEL1WL&#10;RPsBxrGJpfghryHh77s2FKr2VvWyXu9jPDvrxXLQHTkKD8qaio5HOSXCcNsos6/ox/v64ZESCMw0&#10;rLNGVPQkgC7r+7tF70pR2NZ2jfAEQQyUvatoG4Irswx4KzSDkXXCYFJar1nAq99njWc9ousuK/J8&#10;lvXWN85bLgAwujonaZ3wpRQ8vEkJIpCuosgtJOuT3UWb1QtW7j1zreIXGuwPLDRTBh+9Qq1YYOTg&#10;1S8orbi3YGUYcaszK6XiIs2A04zzH9NsW+ZEmgXFAXeVCf4Plr8et27jUYbeQQnoxikG6XU8kR8Z&#10;klinq1hiCIRjcFzMJvl4SgnH3GQ+fyymUc3s1u08hGdhNYlORT0uI2nEji8QzqVfJdh3ez96YdgN&#10;RDUVLSJojOxsc9p40uOuKmrwMyUscE+HYNcq4d3KLngoWmJ0WXDcyvd7qrp9w/oTAAD//wMAUEsD&#10;BBQABgAIAAAAIQCuzlWo4AAAAA0BAAAPAAAAZHJzL2Rvd25yZXYueG1sTI/LTsMwEEX3SPyDNUhs&#10;ELUTaBSFOBVCPKR2RekHuLFJLOJxZDtp+HumK7qcuVdnztSbxQ1sNiFajxKylQBmsPXaYifh8PV2&#10;XwKLSaFWg0cj4ddE2DTXV7WqtD/hp5n3qWMEwVgpCX1KY8V5bHvjVFz50SBl3z44lWgMHddBnQju&#10;Bp4LUXCnLNKFXo3mpTftz35yEh7f8+2rvRM76+ZJHbY8iA/cSXl7szw/AUtmSf9lOOuTOjTkdPQT&#10;6sgGYmRZQVUK8rx4AEaVIhNrYMfzqlyXwJuaX37R/AEAAP//AwBQSwECLQAUAAYACAAAACEAtoM4&#10;kv4AAADhAQAAEwAAAAAAAAAAAAAAAAAAAAAAW0NvbnRlbnRfVHlwZXNdLnhtbFBLAQItABQABgAI&#10;AAAAIQA4/SH/1gAAAJQBAAALAAAAAAAAAAAAAAAAAC8BAABfcmVscy8ucmVsc1BLAQItABQABgAI&#10;AAAAIQAps00hbAEAAM4CAAAOAAAAAAAAAAAAAAAAAC4CAABkcnMvZTJvRG9jLnhtbFBLAQItABQA&#10;BgAIAAAAIQCuzlWo4AAAAA0BAAAPAAAAAAAAAAAAAAAAAMYDAABkcnMvZG93bnJldi54bWxQSwUG&#10;AAAAAAQABADzAAAA0wQAAAAA&#10;" filled="f" stroked="f">
                <v:textbox style="mso-fit-shape-to-text:t">
                  <w:txbxContent>
                    <w:p w14:paraId="4EC75211" w14:textId="77777777" w:rsidR="008E79CC" w:rsidRPr="00DE49C3" w:rsidRDefault="008E79CC" w:rsidP="008E79CC">
                      <w:pPr>
                        <w:rPr>
                          <w:sz w:val="28"/>
                          <w:szCs w:val="28"/>
                        </w:rPr>
                      </w:pPr>
                      <w:r w:rsidRPr="00DE49C3">
                        <w:rPr>
                          <w:kern w:val="24"/>
                          <w:sz w:val="24"/>
                          <w:szCs w:val="24"/>
                        </w:rPr>
                        <w:t>eb@pkgroup.co.uk</w:t>
                      </w:r>
                    </w:p>
                  </w:txbxContent>
                </v:textbox>
                <w10:wrap type="square" anchorx="margin" anchory="margin"/>
                <w10:anchorlock/>
              </v:rect>
            </w:pict>
          </mc:Fallback>
        </mc:AlternateContent>
      </w:r>
      <w:r w:rsidR="008E79CC" w:rsidRPr="009D2775">
        <w:rPr>
          <w:noProof/>
          <w:color w:val="405E6E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1" layoutInCell="1" allowOverlap="1" wp14:anchorId="150DB74B" wp14:editId="0378BB60">
                <wp:simplePos x="0" y="0"/>
                <wp:positionH relativeFrom="margin">
                  <wp:posOffset>319405</wp:posOffset>
                </wp:positionH>
                <wp:positionV relativeFrom="margin">
                  <wp:posOffset>7861300</wp:posOffset>
                </wp:positionV>
                <wp:extent cx="1353185" cy="377825"/>
                <wp:effectExtent l="0" t="0" r="0" b="0"/>
                <wp:wrapNone/>
                <wp:docPr id="19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185" cy="377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5E59D6" w14:textId="77777777" w:rsidR="008E79CC" w:rsidRPr="00DE49C3" w:rsidRDefault="008E79CC" w:rsidP="008E79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E49C3">
                              <w:rPr>
                                <w:rFonts w:eastAsia="Calibri"/>
                                <w:kern w:val="24"/>
                              </w:rPr>
                              <w:t>+44 (0)20 8125 4300</w:t>
                            </w:r>
                            <w:r w:rsidRPr="00DE49C3">
                              <w:rPr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DB74B" id="Rectangle 6" o:spid="_x0000_s1029" style="position:absolute;margin-left:25.15pt;margin-top:619pt;width:106.55pt;height:29.75pt;z-index:-25165107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y6ybQEAAM4CAAAOAAAAZHJzL2Uyb0RvYy54bWysks1uwjAMx++T9g5R7qMtiIEqWjQJscu0&#10;IbE9QEgTGqn5UBxoefs5gcG03aZdnMR2frH/zmI56I4chQdlTUWLUU6JMNw2yuwr+vG+fphTAoGZ&#10;hnXWiIqeBNBlfX+36F0pxra1XSM8QYiBsncVbUNwZZYBb4VmMLJOGAxK6zULePT7rPGsR7rusnGe&#10;P2a99Y3zlgsA9K7OQVonvpSChzcpQQTSVRRrC8n6ZHfRZvWClXvPXKv4pQz2hyo0UwYfvaJWLDBy&#10;8OoXSivuLVgZRtzqzEqpuEg9YDdF/qObbcucSL2gOOCuMsH/Yfnrces2HmXoHZSA29jFIL2OK9ZH&#10;hiTW6SqWGALh6Cwm00kxn1LCMTaZzebjaVQzu912HsKzsJrETUU9DiNpxI4vEM6pXyl47/Z+3IVh&#10;NxDVIDlCo2dnm9PGkx5nVVGDnymxwD0dgl2rxLulXXgoWqroMuA4le/nlHX7hvUnAAAA//8DAFBL&#10;AwQUAAYACAAAACEA/zdIDN8AAAAMAQAADwAAAGRycy9kb3ducmV2LnhtbEyPy07DMBBF90j8gzVI&#10;bBC1SfoixKkQ4iG1K9p+gBubxCIeR7aThr9nuoLl3Dm6j3IzuY6NJkTrUcLDTAAzWHttsZFwPLzd&#10;r4HFpFCrzqOR8GMibKrrq1IV2p/x04z71DAywVgoCW1KfcF5rFvjVJz53iD9vnxwKtEZGq6DOpO5&#10;63gmxJI7ZZESWtWbl9bU3/vBSZi/Z9tXeyd21o2DOm55EB+4k/L2Znp+ApbMlP5guNSn6lBRp5Mf&#10;UEfWSViInEjSs3xNo4jIlvkc2OkiPa4WwKuS/x9R/QIAAP//AwBQSwECLQAUAAYACAAAACEAtoM4&#10;kv4AAADhAQAAEwAAAAAAAAAAAAAAAAAAAAAAW0NvbnRlbnRfVHlwZXNdLnhtbFBLAQItABQABgAI&#10;AAAAIQA4/SH/1gAAAJQBAAALAAAAAAAAAAAAAAAAAC8BAABfcmVscy8ucmVsc1BLAQItABQABgAI&#10;AAAAIQDWFy6ybQEAAM4CAAAOAAAAAAAAAAAAAAAAAC4CAABkcnMvZTJvRG9jLnhtbFBLAQItABQA&#10;BgAIAAAAIQD/N0gM3wAAAAwBAAAPAAAAAAAAAAAAAAAAAMcDAABkcnMvZG93bnJldi54bWxQSwUG&#10;AAAAAAQABADzAAAA0wQAAAAA&#10;" filled="f" stroked="f">
                <v:textbox style="mso-fit-shape-to-text:t">
                  <w:txbxContent>
                    <w:p w14:paraId="335E59D6" w14:textId="77777777" w:rsidR="008E79CC" w:rsidRPr="00DE49C3" w:rsidRDefault="008E79CC" w:rsidP="008E79CC">
                      <w:pPr>
                        <w:rPr>
                          <w:sz w:val="24"/>
                          <w:szCs w:val="24"/>
                        </w:rPr>
                      </w:pPr>
                      <w:r w:rsidRPr="00DE49C3">
                        <w:rPr>
                          <w:rFonts w:eastAsia="Calibri"/>
                          <w:kern w:val="24"/>
                        </w:rPr>
                        <w:t>+44 (0)20 8125 4300</w:t>
                      </w:r>
                      <w:r w:rsidRPr="00DE49C3">
                        <w:rPr>
                          <w:kern w:val="24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</w:p>
    <w:sectPr w:rsidR="0019314B" w:rsidRPr="009D27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0F8"/>
    <w:rsid w:val="00066A20"/>
    <w:rsid w:val="00116022"/>
    <w:rsid w:val="0019314B"/>
    <w:rsid w:val="00242BA2"/>
    <w:rsid w:val="002A18DE"/>
    <w:rsid w:val="002C59B2"/>
    <w:rsid w:val="002C77C5"/>
    <w:rsid w:val="00363F39"/>
    <w:rsid w:val="003F253B"/>
    <w:rsid w:val="00536ABC"/>
    <w:rsid w:val="00554B8E"/>
    <w:rsid w:val="005D3070"/>
    <w:rsid w:val="00647D2F"/>
    <w:rsid w:val="006712D0"/>
    <w:rsid w:val="00685B7F"/>
    <w:rsid w:val="0069070D"/>
    <w:rsid w:val="006F1B73"/>
    <w:rsid w:val="0073193B"/>
    <w:rsid w:val="00777F70"/>
    <w:rsid w:val="007817DF"/>
    <w:rsid w:val="007935B0"/>
    <w:rsid w:val="0088350F"/>
    <w:rsid w:val="008C3F02"/>
    <w:rsid w:val="008E79CC"/>
    <w:rsid w:val="009062B7"/>
    <w:rsid w:val="009360DD"/>
    <w:rsid w:val="00946846"/>
    <w:rsid w:val="009B0A6B"/>
    <w:rsid w:val="009D2775"/>
    <w:rsid w:val="009D7389"/>
    <w:rsid w:val="00A3792E"/>
    <w:rsid w:val="00A42B7F"/>
    <w:rsid w:val="00AE0D41"/>
    <w:rsid w:val="00B325EF"/>
    <w:rsid w:val="00B54679"/>
    <w:rsid w:val="00B66A55"/>
    <w:rsid w:val="00B91BE4"/>
    <w:rsid w:val="00B92991"/>
    <w:rsid w:val="00BA4EF9"/>
    <w:rsid w:val="00C03E8E"/>
    <w:rsid w:val="00C21380"/>
    <w:rsid w:val="00C84C50"/>
    <w:rsid w:val="00D1587B"/>
    <w:rsid w:val="00DA7502"/>
    <w:rsid w:val="00DD1268"/>
    <w:rsid w:val="00EA3FFC"/>
    <w:rsid w:val="00EA50F8"/>
    <w:rsid w:val="00EC6CE4"/>
    <w:rsid w:val="00ED1FEC"/>
    <w:rsid w:val="00ED2BD7"/>
    <w:rsid w:val="00F4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3DD9A"/>
  <w15:chartTrackingRefBased/>
  <w15:docId w15:val="{9A29A8DE-5992-41D2-B4DF-F1CA4E98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A50F8"/>
    <w:pPr>
      <w:spacing w:after="0" w:line="240" w:lineRule="auto"/>
    </w:pPr>
  </w:style>
  <w:style w:type="table" w:styleId="TableGrid">
    <w:name w:val="Table Grid"/>
    <w:basedOn w:val="TableNormal"/>
    <w:uiPriority w:val="39"/>
    <w:rsid w:val="002A1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8E79CC"/>
  </w:style>
  <w:style w:type="paragraph" w:styleId="ListParagraph">
    <w:name w:val="List Paragraph"/>
    <w:basedOn w:val="Normal"/>
    <w:uiPriority w:val="34"/>
    <w:qFormat/>
    <w:rsid w:val="008E79CC"/>
    <w:pPr>
      <w:ind w:left="720"/>
      <w:contextualSpacing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C213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kgroup.co.uk/wp-content/uploads/2024/03/Factsheet-Pensions-Annual-Allowance-Factsheet-24-25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kgroup.co.uk/wp-content/uploads/2024/03/PK-Group-Budget-Report-March-2024-v2-1.pd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PK Colours">
      <a:dk1>
        <a:srgbClr val="6199AD"/>
      </a:dk1>
      <a:lt1>
        <a:srgbClr val="405E6E"/>
      </a:lt1>
      <a:dk2>
        <a:srgbClr val="1B3644"/>
      </a:dk2>
      <a:lt2>
        <a:srgbClr val="FFFFFF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Philpott</dc:creator>
  <cp:keywords/>
  <dc:description/>
  <cp:lastModifiedBy>Tim Philpott</cp:lastModifiedBy>
  <cp:revision>5</cp:revision>
  <cp:lastPrinted>2024-03-26T14:36:00Z</cp:lastPrinted>
  <dcterms:created xsi:type="dcterms:W3CDTF">2024-03-26T14:28:00Z</dcterms:created>
  <dcterms:modified xsi:type="dcterms:W3CDTF">2024-03-26T14:37:00Z</dcterms:modified>
</cp:coreProperties>
</file>